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rPr>
          <w:rFonts w:ascii="Times New Roman"/>
          <w:sz w:val="32"/>
          <w:szCs w:val="32"/>
        </w:rPr>
      </w:pPr>
      <w:r>
        <w:rPr>
          <w:rFonts w:hint="eastAsia" w:ascii="Times New Roman"/>
          <w:sz w:val="32"/>
        </w:rPr>
        <w:t>京教院党发〔2018〕</w:t>
      </w:r>
      <w:r>
        <w:rPr>
          <w:rFonts w:hint="eastAsia" w:ascii="Times New Roman"/>
          <w:sz w:val="32"/>
          <w:lang w:val="en-US" w:eastAsia="zh-CN"/>
        </w:rPr>
        <w:t>44</w:t>
      </w:r>
      <w:r>
        <w:rPr>
          <w:rFonts w:hint="eastAsia" w:ascii="Times New Roman"/>
          <w:sz w:val="32"/>
        </w:rPr>
        <w:t>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spacing w:line="560" w:lineRule="exact"/>
        <w:jc w:val="center"/>
        <w:rPr>
          <w:rFonts w:hint="eastAsia" w:eastAsia="方正小标宋简体"/>
          <w:sz w:val="44"/>
          <w:szCs w:val="44"/>
        </w:rPr>
      </w:pPr>
      <w:r>
        <w:rPr>
          <w:rFonts w:hint="eastAsia" w:eastAsia="方正小标宋简体"/>
          <w:sz w:val="44"/>
          <w:szCs w:val="44"/>
        </w:rPr>
        <w:t>关于印发《北京教育学院意识形态阵地</w:t>
      </w:r>
    </w:p>
    <w:p>
      <w:pPr>
        <w:spacing w:line="560" w:lineRule="exact"/>
        <w:jc w:val="center"/>
        <w:rPr>
          <w:rFonts w:eastAsia="方正小标宋简体"/>
          <w:sz w:val="44"/>
          <w:szCs w:val="44"/>
        </w:rPr>
      </w:pPr>
      <w:r>
        <w:rPr>
          <w:rFonts w:hint="eastAsia" w:eastAsia="方正小标宋简体"/>
          <w:sz w:val="44"/>
          <w:szCs w:val="44"/>
        </w:rPr>
        <w:t>管理办法》的通知</w:t>
      </w:r>
    </w:p>
    <w:p>
      <w:pPr>
        <w:spacing w:line="560" w:lineRule="exact"/>
        <w:jc w:val="center"/>
        <w:rPr>
          <w:rFonts w:eastAsia="方正小标宋简体"/>
          <w:sz w:val="44"/>
          <w:szCs w:val="44"/>
        </w:rPr>
      </w:pPr>
    </w:p>
    <w:p>
      <w:pPr>
        <w:spacing w:line="560" w:lineRule="exact"/>
        <w:jc w:val="left"/>
        <w:rPr>
          <w:rFonts w:eastAsia="楷体_GB2312" w:cs="宋体"/>
          <w:bCs/>
          <w:sz w:val="32"/>
          <w:szCs w:val="32"/>
        </w:rPr>
      </w:pPr>
      <w:r>
        <w:rPr>
          <w:rFonts w:hint="eastAsia" w:eastAsia="楷体_GB2312" w:cs="宋体"/>
          <w:bCs/>
          <w:sz w:val="32"/>
          <w:szCs w:val="32"/>
        </w:rPr>
        <w:t>各分党委（党总支）：</w:t>
      </w:r>
    </w:p>
    <w:p>
      <w:pPr>
        <w:spacing w:line="560" w:lineRule="exact"/>
        <w:ind w:firstLine="640" w:firstLineChars="200"/>
        <w:jc w:val="left"/>
        <w:rPr>
          <w:rFonts w:eastAsia="楷体_GB2312" w:cs="宋体"/>
          <w:bCs/>
          <w:sz w:val="32"/>
          <w:szCs w:val="32"/>
        </w:rPr>
      </w:pPr>
      <w:r>
        <w:rPr>
          <w:rFonts w:hint="eastAsia" w:eastAsia="楷体_GB2312" w:cs="宋体"/>
          <w:bCs/>
          <w:sz w:val="32"/>
          <w:szCs w:val="32"/>
        </w:rPr>
        <w:t>经学院三届党委常委会第2</w:t>
      </w:r>
      <w:r>
        <w:rPr>
          <w:rFonts w:hint="eastAsia" w:eastAsia="楷体_GB2312" w:cs="宋体"/>
          <w:bCs/>
          <w:sz w:val="32"/>
          <w:szCs w:val="32"/>
          <w:lang w:val="en-US" w:eastAsia="zh-CN"/>
        </w:rPr>
        <w:t>1</w:t>
      </w:r>
      <w:r>
        <w:rPr>
          <w:rFonts w:hint="eastAsia" w:eastAsia="楷体_GB2312" w:cs="宋体"/>
          <w:bCs/>
          <w:sz w:val="32"/>
          <w:szCs w:val="32"/>
        </w:rPr>
        <w:t>次会议研究决定，现将《北京教育学院意识形态阵地管理办法》印发给你们，请认真贯彻落实。</w:t>
      </w:r>
    </w:p>
    <w:p>
      <w:pPr>
        <w:spacing w:line="560" w:lineRule="exact"/>
        <w:ind w:firstLine="640" w:firstLineChars="200"/>
        <w:jc w:val="left"/>
        <w:rPr>
          <w:rFonts w:eastAsia="楷体_GB2312" w:cs="宋体"/>
          <w:bCs/>
          <w:sz w:val="32"/>
          <w:szCs w:val="32"/>
        </w:rPr>
      </w:pPr>
    </w:p>
    <w:p>
      <w:pPr>
        <w:spacing w:line="560" w:lineRule="exact"/>
        <w:ind w:firstLine="640" w:firstLineChars="200"/>
        <w:jc w:val="left"/>
        <w:rPr>
          <w:rFonts w:eastAsia="楷体_GB2312" w:cs="宋体"/>
          <w:bCs/>
          <w:sz w:val="32"/>
          <w:szCs w:val="32"/>
        </w:rPr>
      </w:pPr>
    </w:p>
    <w:p>
      <w:pPr>
        <w:spacing w:line="560" w:lineRule="exact"/>
        <w:ind w:firstLine="640" w:firstLineChars="200"/>
        <w:jc w:val="left"/>
        <w:rPr>
          <w:rFonts w:eastAsia="楷体_GB2312" w:cs="宋体"/>
          <w:bCs/>
          <w:sz w:val="32"/>
          <w:szCs w:val="32"/>
        </w:rPr>
      </w:pP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rPr>
        <w:tab/>
      </w:r>
      <w:r>
        <w:rPr>
          <w:rFonts w:hint="eastAsia" w:eastAsia="楷体_GB2312" w:cs="宋体"/>
          <w:bCs/>
          <w:sz w:val="32"/>
          <w:szCs w:val="32"/>
        </w:rPr>
        <w:t xml:space="preserve">中共北京教育学院委员会  </w:t>
      </w: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rPr>
        <w:t xml:space="preserve">    2018年</w:t>
      </w:r>
      <w:r>
        <w:rPr>
          <w:rFonts w:hint="eastAsia" w:eastAsia="楷体_GB2312" w:cs="宋体"/>
          <w:bCs/>
          <w:sz w:val="32"/>
          <w:szCs w:val="32"/>
          <w:lang w:val="en-US" w:eastAsia="zh-CN"/>
        </w:rPr>
        <w:t>11</w:t>
      </w:r>
      <w:r>
        <w:rPr>
          <w:rFonts w:hint="eastAsia" w:eastAsia="楷体_GB2312" w:cs="宋体"/>
          <w:bCs/>
          <w:sz w:val="32"/>
          <w:szCs w:val="32"/>
        </w:rPr>
        <w:t>月</w:t>
      </w:r>
      <w:r>
        <w:rPr>
          <w:rFonts w:hint="eastAsia" w:eastAsia="楷体_GB2312" w:cs="宋体"/>
          <w:bCs/>
          <w:sz w:val="32"/>
          <w:szCs w:val="32"/>
          <w:lang w:val="en-US" w:eastAsia="zh-CN"/>
        </w:rPr>
        <w:t>8</w:t>
      </w:r>
      <w:r>
        <w:rPr>
          <w:rFonts w:hint="eastAsia" w:eastAsia="楷体_GB2312" w:cs="宋体"/>
          <w:bCs/>
          <w:sz w:val="32"/>
          <w:szCs w:val="32"/>
        </w:rPr>
        <w:t xml:space="preserve">日    </w:t>
      </w:r>
    </w:p>
    <w:p>
      <w:pPr>
        <w:spacing w:line="520" w:lineRule="exact"/>
        <w:rPr>
          <w:rFonts w:eastAsia="方正小标宋简体"/>
          <w:vanish/>
          <w:sz w:val="44"/>
          <w:szCs w:val="44"/>
        </w:rPr>
      </w:pPr>
    </w:p>
    <w:p>
      <w:pPr>
        <w:spacing w:line="520" w:lineRule="exact"/>
        <w:jc w:val="center"/>
        <w:rPr>
          <w:rFonts w:eastAsia="方正小标宋简体"/>
          <w:vanish/>
          <w:sz w:val="44"/>
          <w:szCs w:val="44"/>
        </w:rPr>
      </w:pPr>
    </w:p>
    <w:p>
      <w:pPr>
        <w:spacing w:line="560" w:lineRule="exact"/>
        <w:rPr>
          <w:rFonts w:hint="eastAsia" w:ascii="仿宋_GB2312" w:hAnsi="仿宋_GB2312" w:eastAsia="仿宋_GB2312" w:cs="仿宋_GB2312"/>
          <w:sz w:val="32"/>
          <w:szCs w:val="32"/>
        </w:rPr>
      </w:pPr>
    </w:p>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r>
        <w:rPr>
          <w:rFonts w:hint="eastAsia" w:eastAsia="方正小标宋简体"/>
          <w:sz w:val="44"/>
          <w:szCs w:val="44"/>
        </w:rPr>
        <w:t>北京教育学院意识形态阵地管理办法</w:t>
      </w:r>
    </w:p>
    <w:p>
      <w:pPr>
        <w:spacing w:line="560" w:lineRule="exact"/>
        <w:jc w:val="center"/>
        <w:rPr>
          <w:rFonts w:hint="eastAsia" w:eastAsia="方正小标宋简体"/>
          <w:sz w:val="44"/>
          <w:szCs w:val="44"/>
        </w:rPr>
      </w:pP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第一条  </w:t>
      </w:r>
      <w:r>
        <w:rPr>
          <w:rFonts w:hint="eastAsia" w:ascii="仿宋_GB2312" w:hAnsi="仿宋_GB2312" w:eastAsia="仿宋_GB2312" w:cs="仿宋_GB2312"/>
          <w:sz w:val="32"/>
          <w:szCs w:val="32"/>
        </w:rPr>
        <w:t>根据中共中央、国务院《关于加强和改进新形势下高校思想政治工作的意见》和中共中央《关于进一步加强和改进新形势下高校宣传思想工作的意见》以及《北京教育学院落实意识形态工作责任制实施细则（修订）》的具体要求，为加强学校意识形态阵地管理，制定本办法。</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院党委对全院意识形态阵地工作负主体责任，党委宣传部负责全院意识形态阵地的统筹规划和监督管理。各部门按照学院统一要求，负责本部门意识形态阵地的规划和管理。意识形态阵地的建设单位（部门）是管理的责任主体，主要负责人是第一责任人。</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意识形态阵地要按照“谁建设谁负责，谁主管谁负责”的原则，强化对学院课堂、讲座论坛、网络、教材、出版物、张贴物等6类意识形态阵地的引导、监督和管理，决不给反主流意识形态的错误理念提供任何传播渠道。</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课堂阵地管理</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课堂是学院宣传思想阵地的重点，凡纳入学院年度教学计划的各类课程均要坚持学术研究无禁区、课堂讲授有纪律的原则，积极发挥课堂教学立德树人的主渠道作用。决不允许任何利用课堂公然散布各种错误思想和错误观点的行为。</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（二）教务处是课堂教学的监督部门，各二级部门是课堂教学的责任部门。要按照《北京教育学院落实意识形态工作责任制实施细则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》的要求，加强对课堂教学的管理。 </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师是课堂教学的组织者、实施者。要守住课堂教学中的意识形态底线，自觉接受教务处及二级部门的监督管理，自觉遵守有关课堂教学管理要求，使课堂成为传播弘扬主旋律，激发正能量的坚强阵地。要坚持正确的政治导向，决不允许散布违背党的理论和路线方针政策、违背中央决定的言论，决不允许制造传播政治谣言及丑化党和国家形象的言论，决不允许有令不行、有禁不止，在贯彻执行中央决策上打折扣、做选择、搞变通，决不允许以任何形式泄露党和国家秘密，决不允许传看不符合中央精神的政治性刊物、音像制品。</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讲座论坛阵地管理</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举办讲座论坛（含报告会、研讨会等）必须确保坚持正确的政治导向，增强政治意识、大局意识、责任意识，遵守国家法律法规和学院规章制度，宣传科学理论，传播先进文化，弘扬社会正气，维护和谐稳定。</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谁主办，谁邀请，谁负责”的原则，由主办（承办）单位负责意识形态把关，并实行分类管理与备案制度。邀请院外人员发言的讲座论坛，由主办（承办）单位填写《北京教育学院讲座论坛备案表》（附件1），提前5个工作日报党委宣传部备案；邀请境外人员发言的讲座论坛，需同时报国际合作与交流处备案。如有变更应及时告知。</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办（承办）单位应了解主讲人、发言人的思想政治倾向以及报告、讲座、发言内容的健康性和政治观点正确性，应向主讲人、发言人明确政治纪律要求，并实施监督，明确要求主讲人、发言人要对所讲内容负学术、政治和法律责任。在讲座论坛过程中如出现违反国家法律法规和党的方针政策的错误言论，组织举办者应及时加以制止并消除影响，必要时应中止此次活动，并将有关情况及时报告学院党委宣传部。</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（四）由院外机构租借院内场地（报告厅、教室等）举办的讲座论坛，由申请人签署《北京教育学院讲座论坛意识形态安全承诺书》（附件2），交党政办公室备案。</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网络阵地管理</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（一）网络（含微博微信、客户端）阵地管理要坚持“依法管理、确保安全”的方针，遵循信息网络传播规律，树立正确导向，着力内容建设，营造文明健康、积极向上的网络育人环境，维护学校网络信息安全。</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（二）遵守国家关于网站、域名、IP地址备案的有关规定，加强校园网接入管理，规范院内单位（部门）接入移动互联网、使用社会网络资源管理。</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（三）校园网须严格执行《北京教育学院校园网站管理办法》及《北京教育学院校园网站新闻内容发布流程》，严格信息发布管理和审核。</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（四）二级部门在校园网开设二级网页或建设独立网站网页，要履行相关审批程序；以本部门名义开通微博微信、客户端等新媒体平台需向宣传部备案。</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意识形态责任制相关要求，各二级部门党组织负责人及相关责任人必须担负起网络意识形态安全的管理工作，提前做好意识形态危机防控和应急预案工作，发现意识形态苗头性问题必须及时向学院党委宣传部上报。</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教材</w:t>
      </w:r>
      <w:r>
        <w:rPr>
          <w:rFonts w:hint="eastAsia" w:ascii="仿宋_GB2312" w:hAnsi="仿宋_GB2312" w:eastAsia="仿宋_GB2312" w:cs="仿宋_GB2312"/>
          <w:sz w:val="32"/>
          <w:szCs w:val="32"/>
          <w:lang w:val="en-US" w:eastAsia="zh-CN"/>
        </w:rPr>
        <w:t>阵地</w:t>
      </w:r>
      <w:r>
        <w:rPr>
          <w:rFonts w:hint="eastAsia" w:ascii="仿宋_GB2312" w:hAnsi="仿宋_GB2312" w:eastAsia="仿宋_GB2312" w:cs="仿宋_GB2312"/>
          <w:sz w:val="32"/>
          <w:szCs w:val="32"/>
        </w:rPr>
        <w:t>管理</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把好教材政治关。坚持正确的政治方向，牢牢把握好教材的政治思想性，确保意识形态安全。教材要与党的教育方针保持高度一致，落实立德树人根本任务，融入社会主义核心价值观、中华优秀传统文化、革命传统、法治教育和国家安全教育等要求。</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用教材应注重教材质量，贯彻优中选优的原则。应首选近三年出版的国家级规划教材、省部级重点规划教材和高等院校精品课获奖教材等。学院成立并组织教材审定小组，对学院教师编写的教材进行审定。使用讲义时，应先由任课教师编写完善后，由所在教学系（室或中心）主任审核、二级学院院长签字同意后，上报教务处审批后再使用。</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出版物阵地管理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（一）学院公开出版发行各类报刊、杂志、书籍或编印内部刊物必须严格遵守国家法律法规，坚持正确的舆论导向，营造积极向上的宣传舆论氛围。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（二）出版物由其编辑部审核稿件，并按要求接受新闻出版机构年审；编辑委员会负责人、主办单位党组织主要负责人和编辑出版机构负责人须对内容的政治倾向把关。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（三）加强哲学社会科学成果发布管理，建立出版质量监督检查体系，由科研处负责制定实施办法。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张贴物阵地管理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（一）各二级部门、教学系（中心）在院内张贴海报标语、摆放活动宣传牌、悬挂横幅等，须提前将内容报所在党总支审批。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（二）党委宣传部、党政办公室、安全保卫处应加强对宣传橱窗、通知栏、教学楼办公楼内外围墙等场所的监督检查，发现违规内容要及时清理。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党委宣传部和各二级单位（部门）应当建立健全意识形态阵地使用管理监督检查机制，定期进行检查。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违反本办法给学院造成影响的，对相关二级部门和个人给予通报批评并督促整改；发生责任事故或者造成重大影响的，依照有关规定给与相应的党纪政纪处分。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本办法由学院党委宣传部负责解释。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本办法自公布之日起实施。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附件：1.《北京教育学院讲座论坛备案表》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outlineLvl w:val="9"/>
        <w:rPr>
          <w:rFonts w:ascii="仿宋" w:hAnsi="仿宋" w:eastAsia="仿宋"/>
          <w:sz w:val="32"/>
        </w:rPr>
      </w:pPr>
      <w:r>
        <w:rPr>
          <w:rFonts w:hint="eastAsia" w:ascii="仿宋_GB2312" w:hAnsi="仿宋_GB2312" w:eastAsia="仿宋_GB2312" w:cs="仿宋_GB2312"/>
          <w:sz w:val="32"/>
          <w:szCs w:val="32"/>
        </w:rPr>
        <w:t>2.《北京教育学院讲座论坛意识形态安全承诺书》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北京教育学院讲座论坛备案表</w:t>
      </w:r>
    </w:p>
    <w:tbl>
      <w:tblPr>
        <w:tblStyle w:val="28"/>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4"/>
        <w:gridCol w:w="745"/>
        <w:gridCol w:w="710"/>
        <w:gridCol w:w="710"/>
        <w:gridCol w:w="1421"/>
        <w:gridCol w:w="950"/>
        <w:gridCol w:w="470"/>
        <w:gridCol w:w="1420"/>
        <w:gridCol w:w="14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9"/>
            <w:vAlign w:val="center"/>
          </w:tcPr>
          <w:p>
            <w:pPr>
              <w:pStyle w:val="15"/>
              <w:jc w:val="both"/>
              <w:rPr>
                <w:b w:val="0"/>
              </w:rPr>
            </w:pPr>
            <w:r>
              <w:rPr>
                <w:rFonts w:hint="eastAsia"/>
                <w:b w:val="0"/>
              </w:rPr>
              <w:t>名称与主题：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19" w:type="dxa"/>
            <w:gridSpan w:val="2"/>
            <w:vAlign w:val="center"/>
          </w:tcPr>
          <w:p>
            <w:pPr>
              <w:pStyle w:val="15"/>
              <w:rPr>
                <w:b w:val="0"/>
              </w:rPr>
            </w:pPr>
            <w:r>
              <w:rPr>
                <w:rFonts w:hint="eastAsia"/>
                <w:b w:val="0"/>
              </w:rPr>
              <w:t>时间</w:t>
            </w:r>
          </w:p>
        </w:tc>
        <w:tc>
          <w:tcPr>
            <w:tcW w:w="1420" w:type="dxa"/>
            <w:gridSpan w:val="2"/>
            <w:vAlign w:val="center"/>
          </w:tcPr>
          <w:p>
            <w:pPr>
              <w:pStyle w:val="15"/>
              <w:rPr>
                <w:b w:val="0"/>
              </w:rPr>
            </w:pPr>
          </w:p>
        </w:tc>
        <w:tc>
          <w:tcPr>
            <w:tcW w:w="1421" w:type="dxa"/>
            <w:vAlign w:val="center"/>
          </w:tcPr>
          <w:p>
            <w:pPr>
              <w:pStyle w:val="15"/>
              <w:rPr>
                <w:b w:val="0"/>
              </w:rPr>
            </w:pPr>
            <w:r>
              <w:rPr>
                <w:rFonts w:hint="eastAsia"/>
                <w:b w:val="0"/>
              </w:rPr>
              <w:t>地点</w:t>
            </w:r>
          </w:p>
        </w:tc>
        <w:tc>
          <w:tcPr>
            <w:tcW w:w="1420" w:type="dxa"/>
            <w:gridSpan w:val="2"/>
            <w:vAlign w:val="center"/>
          </w:tcPr>
          <w:p>
            <w:pPr>
              <w:pStyle w:val="15"/>
              <w:rPr>
                <w:b w:val="0"/>
              </w:rPr>
            </w:pPr>
          </w:p>
        </w:tc>
        <w:tc>
          <w:tcPr>
            <w:tcW w:w="1420" w:type="dxa"/>
            <w:vAlign w:val="center"/>
          </w:tcPr>
          <w:p>
            <w:pPr>
              <w:pStyle w:val="15"/>
              <w:rPr>
                <w:b w:val="0"/>
              </w:rPr>
            </w:pPr>
            <w:r>
              <w:rPr>
                <w:rFonts w:hint="eastAsia"/>
                <w:b w:val="0"/>
              </w:rPr>
              <w:t>规模</w:t>
            </w:r>
          </w:p>
        </w:tc>
        <w:tc>
          <w:tcPr>
            <w:tcW w:w="1422" w:type="dxa"/>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19" w:type="dxa"/>
            <w:gridSpan w:val="2"/>
            <w:vAlign w:val="center"/>
          </w:tcPr>
          <w:p>
            <w:pPr>
              <w:pStyle w:val="15"/>
              <w:rPr>
                <w:b w:val="0"/>
              </w:rPr>
            </w:pPr>
            <w:r>
              <w:rPr>
                <w:rFonts w:hint="eastAsia"/>
                <w:b w:val="0"/>
              </w:rPr>
              <w:t>部门</w:t>
            </w:r>
          </w:p>
        </w:tc>
        <w:tc>
          <w:tcPr>
            <w:tcW w:w="2841" w:type="dxa"/>
            <w:gridSpan w:val="3"/>
            <w:vAlign w:val="center"/>
          </w:tcPr>
          <w:p>
            <w:pPr>
              <w:pStyle w:val="15"/>
              <w:rPr>
                <w:b w:val="0"/>
              </w:rPr>
            </w:pPr>
          </w:p>
        </w:tc>
        <w:tc>
          <w:tcPr>
            <w:tcW w:w="1420" w:type="dxa"/>
            <w:gridSpan w:val="2"/>
            <w:vAlign w:val="center"/>
          </w:tcPr>
          <w:p>
            <w:pPr>
              <w:pStyle w:val="15"/>
              <w:rPr>
                <w:b w:val="0"/>
              </w:rPr>
            </w:pPr>
            <w:r>
              <w:rPr>
                <w:rFonts w:hint="eastAsia"/>
                <w:b w:val="0"/>
              </w:rPr>
              <w:t>负责人签名</w:t>
            </w:r>
          </w:p>
        </w:tc>
        <w:tc>
          <w:tcPr>
            <w:tcW w:w="2842" w:type="dxa"/>
            <w:gridSpan w:val="2"/>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9"/>
            <w:vAlign w:val="center"/>
          </w:tcPr>
          <w:p>
            <w:pPr>
              <w:pStyle w:val="15"/>
              <w:jc w:val="center"/>
              <w:rPr>
                <w:b w:val="0"/>
              </w:rPr>
            </w:pPr>
            <w:r>
              <w:rPr>
                <w:rFonts w:hint="eastAsia"/>
                <w:b w:val="0"/>
              </w:rPr>
              <w:t>主讲人、发言人信息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p>
        </w:tc>
        <w:tc>
          <w:tcPr>
            <w:tcW w:w="1455" w:type="dxa"/>
            <w:gridSpan w:val="2"/>
            <w:vAlign w:val="center"/>
          </w:tcPr>
          <w:p>
            <w:pPr>
              <w:pStyle w:val="15"/>
              <w:rPr>
                <w:b w:val="0"/>
              </w:rPr>
            </w:pPr>
            <w:r>
              <w:rPr>
                <w:rFonts w:hint="eastAsia"/>
                <w:b w:val="0"/>
              </w:rPr>
              <w:t>姓名</w:t>
            </w:r>
          </w:p>
        </w:tc>
        <w:tc>
          <w:tcPr>
            <w:tcW w:w="3081" w:type="dxa"/>
            <w:gridSpan w:val="3"/>
            <w:vAlign w:val="center"/>
          </w:tcPr>
          <w:p>
            <w:pPr>
              <w:pStyle w:val="15"/>
              <w:rPr>
                <w:b w:val="0"/>
              </w:rPr>
            </w:pPr>
            <w:r>
              <w:rPr>
                <w:rFonts w:hint="eastAsia"/>
                <w:b w:val="0"/>
              </w:rPr>
              <w:t>基本情况</w:t>
            </w:r>
          </w:p>
        </w:tc>
        <w:tc>
          <w:tcPr>
            <w:tcW w:w="3312" w:type="dxa"/>
            <w:gridSpan w:val="3"/>
            <w:vAlign w:val="center"/>
          </w:tcPr>
          <w:p>
            <w:pPr>
              <w:pStyle w:val="15"/>
              <w:rPr>
                <w:b w:val="0"/>
              </w:rPr>
            </w:pPr>
            <w:r>
              <w:rPr>
                <w:rFonts w:hint="eastAsia"/>
                <w:b w:val="0"/>
              </w:rPr>
              <w:t>发言主要内容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1</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2</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3</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4</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5</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74" w:type="dxa"/>
            <w:vAlign w:val="center"/>
          </w:tcPr>
          <w:p>
            <w:pPr>
              <w:pStyle w:val="15"/>
              <w:rPr>
                <w:b w:val="0"/>
              </w:rPr>
            </w:pPr>
            <w:r>
              <w:rPr>
                <w:rFonts w:hint="eastAsia"/>
                <w:b w:val="0"/>
              </w:rPr>
              <w:t>…</w:t>
            </w:r>
          </w:p>
        </w:tc>
        <w:tc>
          <w:tcPr>
            <w:tcW w:w="1455" w:type="dxa"/>
            <w:gridSpan w:val="2"/>
            <w:vAlign w:val="center"/>
          </w:tcPr>
          <w:p>
            <w:pPr>
              <w:pStyle w:val="15"/>
              <w:rPr>
                <w:b w:val="0"/>
              </w:rPr>
            </w:pPr>
          </w:p>
        </w:tc>
        <w:tc>
          <w:tcPr>
            <w:tcW w:w="3081" w:type="dxa"/>
            <w:gridSpan w:val="3"/>
            <w:vAlign w:val="center"/>
          </w:tcPr>
          <w:p>
            <w:pPr>
              <w:pStyle w:val="15"/>
              <w:rPr>
                <w:b w:val="0"/>
              </w:rPr>
            </w:pPr>
          </w:p>
        </w:tc>
        <w:tc>
          <w:tcPr>
            <w:tcW w:w="3312" w:type="dxa"/>
            <w:gridSpan w:val="3"/>
            <w:vAlign w:val="center"/>
          </w:tcPr>
          <w:p>
            <w:pPr>
              <w:pStyle w:val="15"/>
              <w:rPr>
                <w:b w:val="0"/>
              </w:rPr>
            </w:pPr>
          </w:p>
        </w:tc>
      </w:tr>
    </w:tbl>
    <w:p>
      <w:pPr>
        <w:spacing w:line="360" w:lineRule="auto"/>
        <w:ind w:right="1280"/>
        <w:jc w:val="cente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val="en-US" w:eastAsia="zh-CN"/>
        </w:rPr>
        <w:t xml:space="preserve">                  </w:t>
      </w:r>
      <w:r>
        <w:rPr>
          <w:rFonts w:hint="eastAsia" w:asciiTheme="minorEastAsia" w:hAnsiTheme="minorEastAsia" w:eastAsiaTheme="minorEastAsia" w:cstheme="minorEastAsia"/>
          <w:sz w:val="32"/>
        </w:rPr>
        <w:t>备案日期：</w:t>
      </w:r>
    </w:p>
    <w:p>
      <w:pPr>
        <w:adjustRightInd/>
        <w:snapToGrid/>
        <w:spacing w:after="0"/>
        <w:rPr>
          <w:rFonts w:ascii="仿宋" w:hAnsi="仿宋" w:eastAsia="仿宋"/>
          <w:sz w:val="32"/>
        </w:rPr>
      </w:pPr>
      <w:r>
        <w:rPr>
          <w:rFonts w:ascii="仿宋" w:hAnsi="仿宋" w:eastAsia="仿宋"/>
          <w:sz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22"/>
          <w:lang w:eastAsia="zh-CN"/>
        </w:rPr>
      </w:pPr>
      <w:r>
        <w:rPr>
          <w:rFonts w:hint="eastAsia" w:ascii="黑体" w:hAnsi="黑体" w:eastAsia="黑体" w:cs="黑体"/>
          <w:sz w:val="32"/>
          <w:szCs w:val="22"/>
        </w:rPr>
        <w:t>附件2</w:t>
      </w:r>
      <w:r>
        <w:rPr>
          <w:rFonts w:hint="eastAsia" w:ascii="黑体" w:hAnsi="黑体" w:eastAsia="黑体" w:cs="黑体"/>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北京教育学院讲座论坛意识形态安全承诺书</w:t>
      </w:r>
    </w:p>
    <w:p>
      <w:pPr>
        <w:spacing w:after="0" w:line="360" w:lineRule="auto"/>
        <w:ind w:right="1280"/>
        <w:rPr>
          <w:rFonts w:ascii="仿宋" w:hAnsi="仿宋" w:eastAsia="仿宋"/>
          <w:sz w:val="32"/>
        </w:rPr>
      </w:pPr>
    </w:p>
    <w:p>
      <w:pPr>
        <w:spacing w:line="360" w:lineRule="auto"/>
        <w:ind w:firstLine="707" w:firstLineChars="221"/>
        <w:jc w:val="both"/>
        <w:rPr>
          <w:rFonts w:hint="eastAsia" w:ascii="仿宋_GB2312" w:hAnsi="仿宋_GB2312" w:eastAsia="仿宋_GB2312" w:cs="仿宋_GB2312"/>
          <w:sz w:val="32"/>
        </w:rPr>
      </w:pPr>
      <w:r>
        <w:rPr>
          <w:rFonts w:hint="eastAsia" w:ascii="仿宋_GB2312" w:hAnsi="仿宋_GB2312" w:eastAsia="仿宋_GB2312" w:cs="仿宋_GB2312"/>
          <w:sz w:val="32"/>
        </w:rPr>
        <w:t>我单位</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于</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日在北京教育学院举办</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活动，特承诺在该活动举办过程中，确保主讲人、发言人不发表违背党的基本路线、党的决定决议和政策、否定党的领导、否定四项基本原则、攻击中国特色社会主义制度、破坏民族团结等言论,或者其他有严重政治问题的文章、演说、宣言、声明等，承担该活动全部内容的意识形态把关责任。</w:t>
      </w:r>
    </w:p>
    <w:p>
      <w:pPr>
        <w:spacing w:line="360" w:lineRule="auto"/>
        <w:ind w:firstLine="707" w:firstLineChars="221"/>
        <w:jc w:val="both"/>
        <w:rPr>
          <w:rFonts w:hint="eastAsia" w:ascii="仿宋_GB2312" w:hAnsi="仿宋_GB2312" w:eastAsia="仿宋_GB2312" w:cs="仿宋_GB2312"/>
          <w:sz w:val="32"/>
        </w:rPr>
      </w:pPr>
    </w:p>
    <w:p>
      <w:pPr>
        <w:spacing w:line="360" w:lineRule="auto"/>
        <w:ind w:firstLine="707" w:firstLineChars="221"/>
        <w:jc w:val="both"/>
        <w:rPr>
          <w:rFonts w:hint="eastAsia" w:ascii="仿宋_GB2312" w:hAnsi="仿宋_GB2312" w:eastAsia="仿宋_GB2312" w:cs="仿宋_GB2312"/>
          <w:sz w:val="32"/>
        </w:rPr>
      </w:pPr>
    </w:p>
    <w:p>
      <w:pPr>
        <w:spacing w:line="360" w:lineRule="auto"/>
        <w:ind w:firstLine="707" w:firstLineChars="221"/>
        <w:jc w:val="both"/>
        <w:rPr>
          <w:rFonts w:hint="eastAsia" w:ascii="仿宋_GB2312" w:hAnsi="仿宋_GB2312" w:eastAsia="仿宋_GB2312" w:cs="仿宋_GB2312"/>
          <w:sz w:val="32"/>
        </w:rPr>
      </w:pPr>
    </w:p>
    <w:p>
      <w:pPr>
        <w:spacing w:line="360" w:lineRule="auto"/>
        <w:ind w:firstLine="4800" w:firstLineChars="1500"/>
        <w:jc w:val="both"/>
        <w:rPr>
          <w:rFonts w:hint="eastAsia" w:ascii="仿宋_GB2312" w:hAnsi="仿宋_GB2312" w:eastAsia="仿宋_GB2312" w:cs="仿宋_GB2312"/>
          <w:sz w:val="32"/>
        </w:rPr>
      </w:pPr>
      <w:r>
        <w:rPr>
          <w:rFonts w:hint="eastAsia" w:ascii="仿宋_GB2312" w:hAnsi="仿宋_GB2312" w:eastAsia="仿宋_GB2312" w:cs="仿宋_GB2312"/>
          <w:sz w:val="32"/>
        </w:rPr>
        <w:t>单位名称（公章）：</w:t>
      </w:r>
    </w:p>
    <w:p>
      <w:pPr>
        <w:spacing w:line="360" w:lineRule="auto"/>
        <w:ind w:right="640" w:firstLine="4800" w:firstLineChars="1500"/>
        <w:rPr>
          <w:rFonts w:hint="eastAsia" w:ascii="仿宋_GB2312" w:hAnsi="仿宋_GB2312" w:eastAsia="仿宋_GB2312" w:cs="仿宋_GB2312"/>
          <w:sz w:val="32"/>
        </w:rPr>
      </w:pPr>
      <w:r>
        <w:rPr>
          <w:rFonts w:hint="eastAsia" w:ascii="仿宋_GB2312" w:hAnsi="仿宋_GB2312" w:eastAsia="仿宋_GB2312" w:cs="仿宋_GB2312"/>
          <w:sz w:val="32"/>
        </w:rPr>
        <w:t>日</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期：</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280" w:lineRule="exact"/>
        <w:rPr>
          <w:rFonts w:eastAsia="仿宋_GB2312"/>
          <w:color w:val="auto"/>
          <w:sz w:val="28"/>
        </w:rPr>
      </w:pPr>
      <w:r>
        <w:rPr>
          <w:color w:val="auto"/>
          <w:sz w:val="28"/>
        </w:rPr>
        <w:pict>
          <v:group id="_x0000_s1042" o:spid="_x0000_s1042" o:spt="203" style="position:absolute;left:0pt;margin-left:0pt;margin-top:5pt;height:32.3pt;width:442.2pt;z-index:251660288;mso-width-relative:page;mso-height-relative:page;" coordorigin="6825,201452" coordsize="8844,646">
            <o:lock v:ext="edit" aspectratio="f"/>
            <v:line id="_x0000_s1043" o:spid="_x0000_s1043" o:spt="20" style="position:absolute;left:6825;top:201452;flip:y;height:1;width:8844;" filled="f" stroked="t" coordsize="21600,21600">
              <v:path arrowok="t"/>
              <v:fill on="f" focussize="0,0"/>
              <v:stroke weight="1pt" color="#000000"/>
              <v:imagedata o:title=""/>
              <o:lock v:ext="edit" aspectratio="f"/>
            </v:line>
            <v:line id="_x0000_s1044" o:spid="_x0000_s104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color w:val="auto"/>
          <w:sz w:val="28"/>
        </w:rPr>
        <w:t>中共北京教育学院委员会办公室</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lang w:val="en-US" w:eastAsia="zh-CN"/>
        </w:rPr>
        <w:t xml:space="preserve"> </w:t>
      </w:r>
      <w:r>
        <w:rPr>
          <w:rFonts w:hint="eastAsia"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20</w:t>
      </w:r>
      <w:r>
        <w:rPr>
          <w:rFonts w:hint="eastAsia" w:eastAsia="仿宋_GB2312"/>
          <w:color w:val="auto"/>
          <w:sz w:val="28"/>
        </w:rPr>
        <w:t>1</w:t>
      </w:r>
      <w:r>
        <w:rPr>
          <w:rFonts w:hint="eastAsia" w:eastAsia="仿宋_GB2312"/>
          <w:color w:val="auto"/>
          <w:sz w:val="28"/>
          <w:lang w:val="en-US" w:eastAsia="zh-CN"/>
        </w:rPr>
        <w:t>8</w:t>
      </w:r>
      <w:r>
        <w:rPr>
          <w:rFonts w:hint="eastAsia" w:eastAsia="仿宋_GB2312"/>
          <w:color w:val="auto"/>
          <w:sz w:val="28"/>
        </w:rPr>
        <w:t>年</w:t>
      </w:r>
      <w:r>
        <w:rPr>
          <w:rFonts w:hint="eastAsia" w:eastAsia="仿宋_GB2312"/>
          <w:color w:val="auto"/>
          <w:sz w:val="28"/>
          <w:lang w:val="en-US" w:eastAsia="zh-CN"/>
        </w:rPr>
        <w:t>11</w:t>
      </w:r>
      <w:r>
        <w:rPr>
          <w:rFonts w:hint="eastAsia" w:eastAsia="仿宋_GB2312"/>
          <w:color w:val="auto"/>
          <w:sz w:val="28"/>
        </w:rPr>
        <w:t>月</w:t>
      </w:r>
      <w:r>
        <w:rPr>
          <w:rFonts w:hint="eastAsia" w:eastAsia="仿宋_GB2312"/>
          <w:color w:val="auto"/>
          <w:sz w:val="28"/>
          <w:lang w:val="en-US" w:eastAsia="zh-CN"/>
        </w:rPr>
        <w:t>8</w:t>
      </w:r>
      <w:bookmarkStart w:id="0" w:name="_GoBack"/>
      <w:bookmarkEnd w:id="0"/>
      <w:r>
        <w:rPr>
          <w:rFonts w:hint="eastAsia" w:eastAsia="仿宋_GB2312"/>
          <w:color w:val="auto"/>
          <w:sz w:val="28"/>
        </w:rPr>
        <w:t>日印发</w:t>
      </w:r>
    </w:p>
    <w:sectPr>
      <w:footerReference r:id="rId3" w:type="default"/>
      <w:footerReference r:id="rId4" w:type="even"/>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11" w:y="-66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- 5 -</w:t>
    </w:r>
    <w:r>
      <w:rPr>
        <w:rStyle w:val="23"/>
        <w:rFonts w:ascii="宋体" w:hAnsi="宋体"/>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- 6 -</w:t>
    </w:r>
    <w:r>
      <w:rPr>
        <w:rStyle w:val="23"/>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C2F53"/>
    <w:rsid w:val="000E1897"/>
    <w:rsid w:val="000E335A"/>
    <w:rsid w:val="00101D67"/>
    <w:rsid w:val="0012164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D3C80"/>
    <w:rsid w:val="001E1D16"/>
    <w:rsid w:val="00224AB8"/>
    <w:rsid w:val="00233D69"/>
    <w:rsid w:val="00235E42"/>
    <w:rsid w:val="00237EB6"/>
    <w:rsid w:val="00251654"/>
    <w:rsid w:val="00257B40"/>
    <w:rsid w:val="0027000F"/>
    <w:rsid w:val="0028045E"/>
    <w:rsid w:val="002A5534"/>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915F5"/>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2F7D"/>
    <w:rsid w:val="00852ED0"/>
    <w:rsid w:val="008549B0"/>
    <w:rsid w:val="00863EC9"/>
    <w:rsid w:val="00865AD7"/>
    <w:rsid w:val="00877F58"/>
    <w:rsid w:val="00880444"/>
    <w:rsid w:val="00891D07"/>
    <w:rsid w:val="008A0F9E"/>
    <w:rsid w:val="008A2C81"/>
    <w:rsid w:val="008B6D87"/>
    <w:rsid w:val="008B7436"/>
    <w:rsid w:val="008E644E"/>
    <w:rsid w:val="00936313"/>
    <w:rsid w:val="00941DD7"/>
    <w:rsid w:val="00942A48"/>
    <w:rsid w:val="009465F7"/>
    <w:rsid w:val="0095667B"/>
    <w:rsid w:val="00957E69"/>
    <w:rsid w:val="009613D2"/>
    <w:rsid w:val="009843EE"/>
    <w:rsid w:val="00990D9F"/>
    <w:rsid w:val="009A76DE"/>
    <w:rsid w:val="009B3D72"/>
    <w:rsid w:val="009C4E01"/>
    <w:rsid w:val="009D44C2"/>
    <w:rsid w:val="009E44EB"/>
    <w:rsid w:val="009E66CF"/>
    <w:rsid w:val="009F0481"/>
    <w:rsid w:val="009F0647"/>
    <w:rsid w:val="00A0080C"/>
    <w:rsid w:val="00A117D8"/>
    <w:rsid w:val="00A402B3"/>
    <w:rsid w:val="00A51BBA"/>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5FE024C"/>
    <w:rsid w:val="06424EEC"/>
    <w:rsid w:val="06F53140"/>
    <w:rsid w:val="07EF062B"/>
    <w:rsid w:val="08397C17"/>
    <w:rsid w:val="084C09B0"/>
    <w:rsid w:val="09922F90"/>
    <w:rsid w:val="0A51452A"/>
    <w:rsid w:val="0BED4349"/>
    <w:rsid w:val="0C7B0F8B"/>
    <w:rsid w:val="0E743BCE"/>
    <w:rsid w:val="10217675"/>
    <w:rsid w:val="10CB3597"/>
    <w:rsid w:val="123D0FF5"/>
    <w:rsid w:val="137C3E5C"/>
    <w:rsid w:val="14D959F5"/>
    <w:rsid w:val="150A601E"/>
    <w:rsid w:val="15D73D76"/>
    <w:rsid w:val="1AA32939"/>
    <w:rsid w:val="1B247DA8"/>
    <w:rsid w:val="1BC10101"/>
    <w:rsid w:val="1BF626C3"/>
    <w:rsid w:val="1E436EC5"/>
    <w:rsid w:val="1FC04FB3"/>
    <w:rsid w:val="202F3346"/>
    <w:rsid w:val="20F05610"/>
    <w:rsid w:val="21254EEC"/>
    <w:rsid w:val="21F826B1"/>
    <w:rsid w:val="227764F9"/>
    <w:rsid w:val="24253281"/>
    <w:rsid w:val="25475B9E"/>
    <w:rsid w:val="257E39B3"/>
    <w:rsid w:val="26024C5F"/>
    <w:rsid w:val="26852758"/>
    <w:rsid w:val="28BD6625"/>
    <w:rsid w:val="29DA2C92"/>
    <w:rsid w:val="2B9E478D"/>
    <w:rsid w:val="2BCA3D60"/>
    <w:rsid w:val="2C555DB3"/>
    <w:rsid w:val="2C67659D"/>
    <w:rsid w:val="2D15360E"/>
    <w:rsid w:val="2E0954E4"/>
    <w:rsid w:val="2EB119C4"/>
    <w:rsid w:val="2F6333EC"/>
    <w:rsid w:val="30995039"/>
    <w:rsid w:val="31C23B53"/>
    <w:rsid w:val="31EA6996"/>
    <w:rsid w:val="32617BCD"/>
    <w:rsid w:val="3353691C"/>
    <w:rsid w:val="36292AD0"/>
    <w:rsid w:val="39AF77BF"/>
    <w:rsid w:val="3A7B204F"/>
    <w:rsid w:val="3C4C0839"/>
    <w:rsid w:val="3C7E1027"/>
    <w:rsid w:val="3C9B3888"/>
    <w:rsid w:val="3E091AA4"/>
    <w:rsid w:val="3EC60C75"/>
    <w:rsid w:val="3EF85104"/>
    <w:rsid w:val="3F0D65C9"/>
    <w:rsid w:val="3FC24297"/>
    <w:rsid w:val="4147254C"/>
    <w:rsid w:val="419C4FC6"/>
    <w:rsid w:val="431E34F4"/>
    <w:rsid w:val="450C0AF8"/>
    <w:rsid w:val="457F131B"/>
    <w:rsid w:val="45E5340A"/>
    <w:rsid w:val="46AE5938"/>
    <w:rsid w:val="4854064D"/>
    <w:rsid w:val="487039CA"/>
    <w:rsid w:val="491846E2"/>
    <w:rsid w:val="4C56198E"/>
    <w:rsid w:val="4E607018"/>
    <w:rsid w:val="4EFA1754"/>
    <w:rsid w:val="4F02562A"/>
    <w:rsid w:val="501329F4"/>
    <w:rsid w:val="504B376D"/>
    <w:rsid w:val="50F07AFB"/>
    <w:rsid w:val="52A53D62"/>
    <w:rsid w:val="536D011B"/>
    <w:rsid w:val="54C61734"/>
    <w:rsid w:val="552F1E5E"/>
    <w:rsid w:val="55407EEE"/>
    <w:rsid w:val="55700DEF"/>
    <w:rsid w:val="55701085"/>
    <w:rsid w:val="55954627"/>
    <w:rsid w:val="59270ED6"/>
    <w:rsid w:val="5A7A7E04"/>
    <w:rsid w:val="5C89467B"/>
    <w:rsid w:val="5E180794"/>
    <w:rsid w:val="60A86070"/>
    <w:rsid w:val="6284160B"/>
    <w:rsid w:val="62C53D40"/>
    <w:rsid w:val="6527112E"/>
    <w:rsid w:val="65871669"/>
    <w:rsid w:val="662B430D"/>
    <w:rsid w:val="68B04193"/>
    <w:rsid w:val="6995504F"/>
    <w:rsid w:val="6ADD3871"/>
    <w:rsid w:val="6CF65B43"/>
    <w:rsid w:val="6DDA1EE8"/>
    <w:rsid w:val="6F18683E"/>
    <w:rsid w:val="717B717A"/>
    <w:rsid w:val="71EC0320"/>
    <w:rsid w:val="74534466"/>
    <w:rsid w:val="74795229"/>
    <w:rsid w:val="758B100C"/>
    <w:rsid w:val="75BC2E6D"/>
    <w:rsid w:val="763B46F3"/>
    <w:rsid w:val="7820757A"/>
    <w:rsid w:val="7A0D13D6"/>
    <w:rsid w:val="7B8A4AB6"/>
    <w:rsid w:val="7BCA718C"/>
    <w:rsid w:val="7C2604AC"/>
    <w:rsid w:val="7C4F7380"/>
    <w:rsid w:val="7CAF069E"/>
    <w:rsid w:val="7CE43C6A"/>
    <w:rsid w:val="7D8A4E6E"/>
    <w:rsid w:val="7DBB5426"/>
    <w:rsid w:val="7F6F32CA"/>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1">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22">
    <w:name w:val="Strong"/>
    <w:basedOn w:val="21"/>
    <w:qFormat/>
    <w:uiPriority w:val="0"/>
    <w:rPr>
      <w:b/>
      <w:bCs/>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Char"/>
    <w:basedOn w:val="21"/>
    <w:link w:val="12"/>
    <w:qFormat/>
    <w:uiPriority w:val="0"/>
    <w:rPr>
      <w:kern w:val="2"/>
      <w:sz w:val="18"/>
      <w:szCs w:val="18"/>
    </w:rPr>
  </w:style>
  <w:style w:type="character" w:customStyle="1" w:styleId="32">
    <w:name w:val="日期 Char"/>
    <w:link w:val="10"/>
    <w:qFormat/>
    <w:uiPriority w:val="0"/>
    <w:rPr>
      <w:rFonts w:ascii="仿宋_GB2312" w:eastAsia="仿宋_GB2312"/>
      <w:kern w:val="2"/>
      <w:sz w:val="32"/>
    </w:rPr>
  </w:style>
  <w:style w:type="character" w:customStyle="1" w:styleId="33">
    <w:name w:val="页脚 Char"/>
    <w:link w:val="13"/>
    <w:qFormat/>
    <w:uiPriority w:val="99"/>
    <w:rPr>
      <w:kern w:val="2"/>
      <w:sz w:val="18"/>
    </w:rPr>
  </w:style>
  <w:style w:type="character" w:customStyle="1" w:styleId="34">
    <w:name w:val="页眉 Char"/>
    <w:basedOn w:val="21"/>
    <w:link w:val="14"/>
    <w:qFormat/>
    <w:uiPriority w:val="99"/>
    <w:rPr>
      <w:kern w:val="2"/>
      <w:sz w:val="18"/>
      <w:szCs w:val="18"/>
    </w:rPr>
  </w:style>
  <w:style w:type="character" w:customStyle="1" w:styleId="35">
    <w:name w:val="标题 2 Char"/>
    <w:basedOn w:val="21"/>
    <w:link w:val="3"/>
    <w:semiHidden/>
    <w:qFormat/>
    <w:uiPriority w:val="0"/>
    <w:rPr>
      <w:rFonts w:ascii="Cambria" w:hAnsi="Cambria" w:eastAsia="宋体" w:cs="黑体"/>
      <w:b/>
      <w:bCs/>
      <w:kern w:val="2"/>
      <w:sz w:val="32"/>
      <w:szCs w:val="32"/>
    </w:rPr>
  </w:style>
  <w:style w:type="character" w:customStyle="1" w:styleId="36">
    <w:name w:val="标题 1 Char"/>
    <w:basedOn w:val="21"/>
    <w:link w:val="2"/>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Char"/>
    <w:basedOn w:val="21"/>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7B709-2A93-4ABB-B005-69D26C3DED21}">
  <ds:schemaRefs/>
</ds:datastoreItem>
</file>

<file path=docProps/app.xml><?xml version="1.0" encoding="utf-8"?>
<Properties xmlns="http://schemas.openxmlformats.org/officeDocument/2006/extended-properties" xmlns:vt="http://schemas.openxmlformats.org/officeDocument/2006/docPropsVTypes">
  <Template>Normal.dotm</Template>
  <Company>沐泽科技发展公司</Company>
  <Pages>12</Pages>
  <Words>767</Words>
  <Characters>4372</Characters>
  <Lines>36</Lines>
  <Paragraphs>10</Paragraphs>
  <TotalTime>2</TotalTime>
  <ScaleCrop>false</ScaleCrop>
  <LinksUpToDate>false</LinksUpToDate>
  <CharactersWithSpaces>5129</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2018-10-18T12:59:00Z</dcterms:created>
  <dc:creator>沐泽电脑</dc:creator>
  <cp:lastModifiedBy>hp</cp:lastModifiedBy>
  <cp:lastPrinted>2017-10-12T02:22:00Z</cp:lastPrinted>
  <dcterms:modified xsi:type="dcterms:W3CDTF">2018-11-09T01:30:21Z</dcterms:modified>
  <dc:title>京教院发〔2002〕1号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2052-10.1.0.7616</vt:lpwstr>
  </property>
</Properties>
</file>