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B0D78A">
      <w:pPr>
        <w:pStyle w:val="9"/>
        <w:ind w:firstLine="640" w:firstLineChars="200"/>
        <w:rPr>
          <w:rFonts w:ascii="Times New Roman" w:eastAsia="宋体"/>
          <w:b w:val="0"/>
          <w:bCs w:val="0"/>
          <w:u w:val="none"/>
        </w:rPr>
      </w:pPr>
    </w:p>
    <w:p w14:paraId="72A984C3">
      <w:pPr>
        <w:ind w:firstLine="640" w:firstLineChars="200"/>
        <w:rPr>
          <w:b w:val="0"/>
          <w:bCs w:val="0"/>
          <w:sz w:val="32"/>
          <w:u w:val="none"/>
        </w:rPr>
      </w:pPr>
    </w:p>
    <w:p w14:paraId="12C5D604">
      <w:pPr>
        <w:ind w:firstLine="640" w:firstLineChars="200"/>
        <w:rPr>
          <w:b w:val="0"/>
          <w:bCs w:val="0"/>
          <w:sz w:val="32"/>
          <w:u w:val="none"/>
        </w:rPr>
      </w:pPr>
    </w:p>
    <w:p w14:paraId="1E498836">
      <w:pPr>
        <w:ind w:firstLine="640" w:firstLineChars="200"/>
        <w:rPr>
          <w:b w:val="0"/>
          <w:bCs w:val="0"/>
          <w:sz w:val="32"/>
          <w:u w:val="none"/>
        </w:rPr>
      </w:pPr>
    </w:p>
    <w:p w14:paraId="066E24B1">
      <w:pPr>
        <w:ind w:firstLine="640" w:firstLineChars="200"/>
        <w:rPr>
          <w:b w:val="0"/>
          <w:bCs w:val="0"/>
          <w:sz w:val="32"/>
          <w:u w:val="none"/>
        </w:rPr>
      </w:pPr>
    </w:p>
    <w:p w14:paraId="32F63A0E">
      <w:pPr>
        <w:ind w:firstLine="640" w:firstLineChars="200"/>
        <w:rPr>
          <w:b w:val="0"/>
          <w:bCs w:val="0"/>
          <w:sz w:val="32"/>
          <w:u w:val="none"/>
        </w:rPr>
      </w:pPr>
    </w:p>
    <w:p w14:paraId="747FADE9">
      <w:pPr>
        <w:ind w:firstLine="420" w:firstLineChars="200"/>
        <w:rPr>
          <w:b w:val="0"/>
          <w:bCs w:val="0"/>
          <w:szCs w:val="21"/>
          <w:u w:val="none"/>
        </w:rPr>
      </w:pPr>
    </w:p>
    <w:p w14:paraId="5BC46CDF">
      <w:pPr>
        <w:pStyle w:val="6"/>
        <w:spacing w:line="0" w:lineRule="atLeast"/>
        <w:jc w:val="center"/>
        <w:rPr>
          <w:b w:val="0"/>
          <w:bCs w:val="0"/>
          <w:sz w:val="32"/>
          <w:szCs w:val="32"/>
          <w:u w:val="none"/>
        </w:rPr>
      </w:pPr>
      <w:r>
        <w:rPr>
          <w:rFonts w:eastAsia="仿宋_GB2312"/>
          <w:b w:val="0"/>
          <w:bCs w:val="0"/>
          <w:sz w:val="32"/>
          <w:u w:val="none"/>
        </w:rPr>
        <w:t>202</w:t>
      </w:r>
      <w:r>
        <w:rPr>
          <w:rFonts w:hint="eastAsia" w:eastAsia="仿宋_GB2312"/>
          <w:b w:val="0"/>
          <w:bCs w:val="0"/>
          <w:sz w:val="32"/>
          <w:u w:val="none"/>
          <w:lang w:val="en-US" w:eastAsia="zh-CN"/>
        </w:rPr>
        <w:t>5</w:t>
      </w:r>
      <w:r>
        <w:rPr>
          <w:rFonts w:eastAsia="仿宋_GB2312"/>
          <w:b w:val="0"/>
          <w:bCs w:val="0"/>
          <w:sz w:val="32"/>
          <w:u w:val="none"/>
        </w:rPr>
        <w:t>年第</w:t>
      </w:r>
      <w:r>
        <w:rPr>
          <w:rFonts w:hint="eastAsia" w:eastAsia="仿宋_GB2312"/>
          <w:b w:val="0"/>
          <w:bCs w:val="0"/>
          <w:sz w:val="32"/>
          <w:u w:val="none"/>
          <w:lang w:val="en-US" w:eastAsia="zh-CN"/>
        </w:rPr>
        <w:t>8</w:t>
      </w:r>
      <w:r>
        <w:rPr>
          <w:rFonts w:eastAsia="仿宋_GB2312"/>
          <w:b w:val="0"/>
          <w:bCs w:val="0"/>
          <w:sz w:val="32"/>
          <w:u w:val="none"/>
        </w:rPr>
        <w:t>期</w:t>
      </w:r>
    </w:p>
    <w:p w14:paraId="31652FAE">
      <w:pPr>
        <w:tabs>
          <w:tab w:val="left" w:pos="2310"/>
        </w:tabs>
        <w:spacing w:line="560" w:lineRule="exact"/>
        <w:ind w:firstLine="640" w:firstLineChars="200"/>
        <w:rPr>
          <w:rFonts w:eastAsia="仿宋_GB2312"/>
          <w:b w:val="0"/>
          <w:bCs w:val="0"/>
          <w:kern w:val="0"/>
          <w:sz w:val="32"/>
          <w:szCs w:val="32"/>
          <w:u w:val="none"/>
        </w:rPr>
      </w:pPr>
    </w:p>
    <w:p w14:paraId="5D56E6CC">
      <w:pPr>
        <w:spacing w:line="560" w:lineRule="exact"/>
        <w:ind w:firstLine="640" w:firstLineChars="200"/>
        <w:rPr>
          <w:rFonts w:eastAsia="仿宋_GB2312"/>
          <w:b w:val="0"/>
          <w:bCs w:val="0"/>
          <w:sz w:val="32"/>
          <w:szCs w:val="32"/>
          <w:u w:val="none"/>
        </w:rPr>
      </w:pPr>
    </w:p>
    <w:p w14:paraId="2BF8F639">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000000"/>
          <w:sz w:val="44"/>
          <w:szCs w:val="44"/>
          <w:u w:val="none"/>
          <w:lang w:val="en-US" w:eastAsia="zh-CN"/>
        </w:rPr>
      </w:pPr>
      <w:r>
        <w:rPr>
          <w:rFonts w:hint="eastAsia" w:ascii="方正小标宋简体" w:hAnsi="方正小标宋简体" w:eastAsia="方正小标宋简体" w:cs="方正小标宋简体"/>
          <w:color w:val="000000"/>
          <w:sz w:val="44"/>
          <w:szCs w:val="44"/>
          <w:u w:val="none"/>
          <w:lang w:val="en-US" w:eastAsia="zh-CN"/>
        </w:rPr>
        <w:t>凝心铸魂  锐意进取</w:t>
      </w:r>
    </w:p>
    <w:p w14:paraId="6A7FA7E4">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default" w:ascii="华文楷体" w:hAnsi="华文楷体" w:eastAsia="华文楷体" w:cs="Times New Roman"/>
          <w:color w:val="000000"/>
          <w:sz w:val="44"/>
          <w:szCs w:val="44"/>
          <w:u w:val="none"/>
          <w:lang w:val="en-US" w:eastAsia="zh-CN"/>
        </w:rPr>
      </w:pPr>
      <w:r>
        <w:rPr>
          <w:rFonts w:hint="eastAsia" w:ascii="方正小标宋简体" w:hAnsi="方正小标宋简体" w:eastAsia="方正小标宋简体" w:cs="方正小标宋简体"/>
          <w:color w:val="000000"/>
          <w:sz w:val="44"/>
          <w:szCs w:val="44"/>
          <w:u w:val="none"/>
          <w:lang w:val="en-US" w:eastAsia="zh-CN"/>
        </w:rPr>
        <w:t>谱写学院高质量发展新篇章</w:t>
      </w:r>
    </w:p>
    <w:p w14:paraId="440751E8">
      <w:pPr>
        <w:keepNext w:val="0"/>
        <w:keepLines w:val="0"/>
        <w:pageBreakBefore w:val="0"/>
        <w:widowControl w:val="0"/>
        <w:kinsoku/>
        <w:wordWrap/>
        <w:topLinePunct w:val="0"/>
        <w:autoSpaceDE/>
        <w:autoSpaceDN/>
        <w:bidi w:val="0"/>
        <w:spacing w:line="600" w:lineRule="exact"/>
        <w:ind w:leftChars="0"/>
        <w:jc w:val="center"/>
        <w:textAlignment w:val="auto"/>
        <w:rPr>
          <w:rFonts w:hint="eastAsia" w:ascii="方正小标宋简体" w:hAnsi="方正小标宋简体" w:eastAsia="方正小标宋简体" w:cs="方正小标宋简体"/>
          <w:color w:val="000000"/>
          <w:sz w:val="32"/>
          <w:szCs w:val="32"/>
          <w:u w:val="none"/>
        </w:rPr>
      </w:pPr>
      <w:r>
        <w:rPr>
          <w:rFonts w:hint="eastAsia" w:ascii="Times New Roman" w:hAnsi="Times New Roman" w:eastAsia="方正小标宋简体" w:cs="方正小标宋简体"/>
          <w:sz w:val="44"/>
          <w:szCs w:val="44"/>
          <w:u w:val="none"/>
        </w:rPr>
        <w:t>——</w:t>
      </w:r>
      <w:r>
        <w:rPr>
          <w:rFonts w:hint="eastAsia" w:ascii="方正小标宋简体" w:hAnsi="方正小标宋简体" w:eastAsia="方正小标宋简体" w:cs="方正小标宋简体"/>
          <w:color w:val="000000"/>
          <w:sz w:val="32"/>
          <w:szCs w:val="32"/>
          <w:u w:val="none"/>
        </w:rPr>
        <w:t>在学院第</w:t>
      </w:r>
      <w:r>
        <w:rPr>
          <w:rFonts w:hint="eastAsia" w:ascii="方正小标宋简体" w:hAnsi="方正小标宋简体" w:eastAsia="方正小标宋简体" w:cs="方正小标宋简体"/>
          <w:color w:val="000000"/>
          <w:sz w:val="32"/>
          <w:szCs w:val="32"/>
          <w:u w:val="none"/>
          <w:lang w:val="en-US" w:eastAsia="zh-CN"/>
        </w:rPr>
        <w:t>八</w:t>
      </w:r>
      <w:r>
        <w:rPr>
          <w:rFonts w:hint="eastAsia" w:ascii="方正小标宋简体" w:hAnsi="方正小标宋简体" w:eastAsia="方正小标宋简体" w:cs="方正小标宋简体"/>
          <w:color w:val="000000"/>
          <w:sz w:val="32"/>
          <w:szCs w:val="32"/>
          <w:u w:val="none"/>
        </w:rPr>
        <w:t>届教职工代表大会上的</w:t>
      </w:r>
      <w:r>
        <w:rPr>
          <w:rFonts w:hint="eastAsia" w:ascii="方正小标宋简体" w:hAnsi="方正小标宋简体" w:eastAsia="方正小标宋简体" w:cs="方正小标宋简体"/>
          <w:color w:val="000000"/>
          <w:sz w:val="32"/>
          <w:szCs w:val="32"/>
          <w:u w:val="none"/>
          <w:lang w:val="en-US" w:eastAsia="zh-CN"/>
        </w:rPr>
        <w:t>工作</w:t>
      </w:r>
      <w:r>
        <w:rPr>
          <w:rFonts w:hint="eastAsia" w:ascii="方正小标宋简体" w:hAnsi="方正小标宋简体" w:eastAsia="方正小标宋简体" w:cs="方正小标宋简体"/>
          <w:color w:val="000000"/>
          <w:sz w:val="32"/>
          <w:szCs w:val="32"/>
          <w:u w:val="none"/>
        </w:rPr>
        <w:t>报告</w:t>
      </w:r>
    </w:p>
    <w:p w14:paraId="6EA38B8B">
      <w:pPr>
        <w:spacing w:line="560" w:lineRule="exact"/>
        <w:jc w:val="center"/>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rPr>
        <w:t>（202</w:t>
      </w:r>
      <w:r>
        <w:rPr>
          <w:rFonts w:hint="eastAsia" w:ascii="Times New Roman" w:hAnsi="Times New Roman"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rPr>
        <w:t>年</w:t>
      </w:r>
      <w:r>
        <w:rPr>
          <w:rFonts w:hint="eastAsia" w:ascii="Times New Roman" w:hAnsi="Times New Roman" w:eastAsia="仿宋_GB2312" w:cs="Times New Roman"/>
          <w:b w:val="0"/>
          <w:bCs w:val="0"/>
          <w:sz w:val="32"/>
          <w:szCs w:val="32"/>
          <w:u w:val="none"/>
          <w:lang w:val="en-US" w:eastAsia="zh-CN"/>
        </w:rPr>
        <w:t>12</w:t>
      </w:r>
      <w:r>
        <w:rPr>
          <w:rFonts w:hint="default" w:ascii="Times New Roman" w:hAnsi="Times New Roman" w:eastAsia="仿宋_GB2312" w:cs="Times New Roman"/>
          <w:b w:val="0"/>
          <w:bCs w:val="0"/>
          <w:sz w:val="32"/>
          <w:szCs w:val="32"/>
          <w:u w:val="none"/>
        </w:rPr>
        <w:t>月2</w:t>
      </w:r>
      <w:r>
        <w:rPr>
          <w:rFonts w:hint="eastAsia" w:eastAsia="仿宋_GB2312" w:cs="Times New Roman"/>
          <w:b w:val="0"/>
          <w:bCs w:val="0"/>
          <w:sz w:val="32"/>
          <w:szCs w:val="32"/>
          <w:u w:val="none"/>
          <w:lang w:val="en-US" w:eastAsia="zh-CN"/>
        </w:rPr>
        <w:t>2</w:t>
      </w:r>
      <w:r>
        <w:rPr>
          <w:rFonts w:hint="default" w:ascii="Times New Roman" w:hAnsi="Times New Roman" w:eastAsia="仿宋_GB2312" w:cs="Times New Roman"/>
          <w:b w:val="0"/>
          <w:bCs w:val="0"/>
          <w:sz w:val="32"/>
          <w:szCs w:val="32"/>
          <w:u w:val="none"/>
        </w:rPr>
        <w:t>日）</w:t>
      </w:r>
    </w:p>
    <w:p w14:paraId="1A555000">
      <w:pPr>
        <w:keepNext w:val="0"/>
        <w:keepLines w:val="0"/>
        <w:pageBreakBefore w:val="0"/>
        <w:widowControl w:val="0"/>
        <w:tabs>
          <w:tab w:val="left" w:pos="6330"/>
        </w:tabs>
        <w:kinsoku/>
        <w:wordWrap/>
        <w:overflowPunct/>
        <w:topLinePunct w:val="0"/>
        <w:autoSpaceDE/>
        <w:autoSpaceDN/>
        <w:bidi w:val="0"/>
        <w:adjustRightInd w:val="0"/>
        <w:snapToGrid w:val="0"/>
        <w:spacing w:beforeAutospacing="0" w:afterAutospacing="0" w:line="600" w:lineRule="exact"/>
        <w:ind w:leftChars="0"/>
        <w:jc w:val="center"/>
        <w:textAlignment w:val="auto"/>
        <w:rPr>
          <w:rFonts w:hint="eastAsia" w:ascii="Times New Roman" w:hAnsi="Times New Roman" w:eastAsia="仿宋_GB2312" w:cs="Times New Roman"/>
          <w:color w:val="auto"/>
          <w:sz w:val="36"/>
          <w:szCs w:val="36"/>
          <w:u w:val="none"/>
        </w:rPr>
      </w:pPr>
      <w:r>
        <w:rPr>
          <w:rFonts w:hint="eastAsia" w:ascii="楷体_GB2312" w:hAnsi="楷体_GB2312" w:eastAsia="楷体_GB2312" w:cs="楷体_GB2312"/>
          <w:b w:val="0"/>
          <w:bCs w:val="0"/>
          <w:sz w:val="32"/>
          <w:szCs w:val="22"/>
          <w:u w:val="none"/>
          <w:lang w:val="en-US" w:eastAsia="zh-CN"/>
        </w:rPr>
        <w:t>桑锦龙</w:t>
      </w:r>
    </w:p>
    <w:p w14:paraId="1D2CCAD6">
      <w:pPr>
        <w:keepNext w:val="0"/>
        <w:keepLines w:val="0"/>
        <w:pageBreakBefore w:val="0"/>
        <w:widowControl w:val="0"/>
        <w:tabs>
          <w:tab w:val="left" w:pos="6330"/>
        </w:tabs>
        <w:kinsoku/>
        <w:wordWrap/>
        <w:overflowPunct/>
        <w:topLinePunct w:val="0"/>
        <w:autoSpaceDE/>
        <w:autoSpaceDN/>
        <w:bidi w:val="0"/>
        <w:adjustRightInd w:val="0"/>
        <w:snapToGrid w:val="0"/>
        <w:spacing w:beforeAutospacing="0" w:afterAutospacing="0" w:line="600" w:lineRule="exact"/>
        <w:ind w:leftChars="0" w:firstLine="0" w:firstLineChars="0"/>
        <w:jc w:val="both"/>
        <w:textAlignment w:val="auto"/>
        <w:rPr>
          <w:rFonts w:hint="eastAsia" w:ascii="Times New Roman" w:hAnsi="Times New Roman" w:eastAsia="仿宋_GB2312" w:cs="Times New Roman"/>
          <w:color w:val="auto"/>
          <w:sz w:val="36"/>
          <w:szCs w:val="36"/>
          <w:u w:val="none"/>
        </w:rPr>
      </w:pPr>
    </w:p>
    <w:p w14:paraId="5A4274C6">
      <w:pPr>
        <w:keepNext w:val="0"/>
        <w:keepLines w:val="0"/>
        <w:pageBreakBefore w:val="0"/>
        <w:widowControl w:val="0"/>
        <w:tabs>
          <w:tab w:val="left" w:pos="6330"/>
        </w:tabs>
        <w:kinsoku/>
        <w:wordWrap/>
        <w:overflowPunct/>
        <w:topLinePunct w:val="0"/>
        <w:autoSpaceDE/>
        <w:autoSpaceDN/>
        <w:bidi w:val="0"/>
        <w:adjustRightInd w:val="0"/>
        <w:snapToGrid w:val="0"/>
        <w:spacing w:beforeAutospacing="0" w:afterAutospacing="0" w:line="600" w:lineRule="exact"/>
        <w:ind w:leftChars="0" w:firstLine="0" w:firstLineChars="0"/>
        <w:jc w:val="both"/>
        <w:textAlignment w:val="auto"/>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各位代表、</w:t>
      </w:r>
      <w:r>
        <w:rPr>
          <w:rFonts w:hint="eastAsia" w:ascii="Times New Roman" w:hAnsi="Times New Roman" w:eastAsia="仿宋_GB2312" w:cs="Times New Roman"/>
          <w:color w:val="auto"/>
          <w:sz w:val="32"/>
          <w:szCs w:val="32"/>
          <w:u w:val="none"/>
          <w:lang w:val="en-US" w:eastAsia="zh-CN"/>
        </w:rPr>
        <w:t>老师</w:t>
      </w:r>
      <w:r>
        <w:rPr>
          <w:rFonts w:hint="eastAsia" w:eastAsia="仿宋_GB2312" w:cs="Times New Roman"/>
          <w:color w:val="auto"/>
          <w:sz w:val="32"/>
          <w:szCs w:val="32"/>
          <w:u w:val="none"/>
          <w:lang w:val="en-US" w:eastAsia="zh-CN"/>
        </w:rPr>
        <w:t>们</w:t>
      </w:r>
      <w:bookmarkStart w:id="0" w:name="_GoBack"/>
      <w:bookmarkEnd w:id="0"/>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rPr>
        <w:t>同志们：</w:t>
      </w:r>
    </w:p>
    <w:p w14:paraId="5EB31C85">
      <w:pPr>
        <w:keepNext w:val="0"/>
        <w:keepLines w:val="0"/>
        <w:pageBreakBefore w:val="0"/>
        <w:widowControl w:val="0"/>
        <w:tabs>
          <w:tab w:val="left" w:pos="6330"/>
        </w:tabs>
        <w:kinsoku/>
        <w:wordWrap/>
        <w:overflowPunct/>
        <w:topLinePunct w:val="0"/>
        <w:autoSpaceDE/>
        <w:autoSpaceDN/>
        <w:bidi w:val="0"/>
        <w:adjustRightInd w:val="0"/>
        <w:snapToGrid w:val="0"/>
        <w:spacing w:beforeAutospacing="0" w:afterAutospacing="0" w:line="600" w:lineRule="exact"/>
        <w:ind w:leftChars="0" w:firstLine="640"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现在，我代表学院，向大会作工作报告，请予审议。</w:t>
      </w:r>
    </w:p>
    <w:p w14:paraId="1985E6BD">
      <w:pPr>
        <w:keepNext w:val="0"/>
        <w:keepLines w:val="0"/>
        <w:pageBreakBefore w:val="0"/>
        <w:widowControl w:val="0"/>
        <w:tabs>
          <w:tab w:val="left" w:pos="6330"/>
        </w:tabs>
        <w:kinsoku/>
        <w:wordWrap/>
        <w:overflowPunct/>
        <w:topLinePunct w:val="0"/>
        <w:autoSpaceDE/>
        <w:autoSpaceDN/>
        <w:bidi w:val="0"/>
        <w:adjustRightInd w:val="0"/>
        <w:snapToGrid w:val="0"/>
        <w:spacing w:beforeAutospacing="0" w:afterAutospacing="0" w:line="600" w:lineRule="exact"/>
        <w:ind w:leftChars="0" w:firstLine="640" w:firstLineChars="200"/>
        <w:jc w:val="both"/>
        <w:textAlignment w:val="auto"/>
        <w:rPr>
          <w:rFonts w:hint="default" w:ascii="黑体" w:hAnsi="宋体" w:eastAsia="黑体" w:cs="黑体"/>
          <w:i w:val="0"/>
          <w:iCs w:val="0"/>
          <w:caps w:val="0"/>
          <w:color w:val="000000"/>
          <w:spacing w:val="0"/>
          <w:sz w:val="32"/>
          <w:szCs w:val="32"/>
          <w:u w:val="none"/>
          <w:lang w:val="en-US" w:eastAsia="zh-CN"/>
        </w:rPr>
      </w:pPr>
      <w:r>
        <w:rPr>
          <w:rFonts w:hint="eastAsia" w:ascii="黑体" w:hAnsi="宋体" w:eastAsia="黑体" w:cs="黑体"/>
          <w:i w:val="0"/>
          <w:iCs w:val="0"/>
          <w:caps w:val="0"/>
          <w:color w:val="000000"/>
          <w:spacing w:val="0"/>
          <w:sz w:val="32"/>
          <w:szCs w:val="32"/>
          <w:u w:val="none"/>
          <w:lang w:val="en-US" w:eastAsia="zh-CN"/>
        </w:rPr>
        <w:t>一、主要工作回顾</w:t>
      </w:r>
    </w:p>
    <w:p w14:paraId="6FC798A2">
      <w:pPr>
        <w:keepNext w:val="0"/>
        <w:keepLines w:val="0"/>
        <w:pageBreakBefore w:val="0"/>
        <w:widowControl w:val="0"/>
        <w:tabs>
          <w:tab w:val="left" w:pos="6330"/>
        </w:tabs>
        <w:kinsoku/>
        <w:wordWrap/>
        <w:overflowPunct/>
        <w:topLinePunct w:val="0"/>
        <w:autoSpaceDE/>
        <w:autoSpaceDN/>
        <w:bidi w:val="0"/>
        <w:adjustRightInd w:val="0"/>
        <w:snapToGrid w:val="0"/>
        <w:spacing w:beforeAutospacing="0" w:afterAutospacing="0" w:line="600" w:lineRule="exact"/>
        <w:ind w:leftChars="0"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自七届一次教代会以来，学院始终坚持以习近平新时代中国特色社会主义思想为指导，全面贯彻党的十九大、二十大和历次全会精神，深入</w:t>
      </w:r>
      <w:r>
        <w:rPr>
          <w:rFonts w:hint="default" w:ascii="Times New Roman" w:hAnsi="Times New Roman" w:eastAsia="仿宋_GB2312" w:cs="Times New Roman"/>
          <w:color w:val="auto"/>
          <w:sz w:val="32"/>
          <w:szCs w:val="32"/>
          <w:highlight w:val="none"/>
          <w:u w:val="none"/>
        </w:rPr>
        <w:t>贯彻</w:t>
      </w:r>
      <w:r>
        <w:rPr>
          <w:rFonts w:hint="eastAsia" w:ascii="Times New Roman" w:hAnsi="Times New Roman" w:eastAsia="仿宋_GB2312" w:cs="Times New Roman"/>
          <w:color w:val="auto"/>
          <w:sz w:val="32"/>
          <w:szCs w:val="32"/>
          <w:highlight w:val="none"/>
          <w:u w:val="none"/>
          <w:lang w:val="en-US" w:eastAsia="zh-CN"/>
        </w:rPr>
        <w:t>落实</w:t>
      </w:r>
      <w:r>
        <w:rPr>
          <w:rFonts w:hint="default" w:ascii="Times New Roman" w:hAnsi="Times New Roman" w:eastAsia="仿宋_GB2312" w:cs="Times New Roman"/>
          <w:color w:val="auto"/>
          <w:sz w:val="32"/>
          <w:szCs w:val="32"/>
          <w:highlight w:val="none"/>
          <w:u w:val="none"/>
        </w:rPr>
        <w:t>习近平总书记关于教育的重要论述和对北京</w:t>
      </w:r>
      <w:r>
        <w:rPr>
          <w:rFonts w:hint="default" w:ascii="Times New Roman" w:hAnsi="Times New Roman" w:eastAsia="仿宋_GB2312" w:cs="Times New Roman"/>
          <w:color w:val="auto"/>
          <w:sz w:val="32"/>
          <w:szCs w:val="32"/>
          <w:highlight w:val="none"/>
          <w:u w:val="none"/>
          <w:lang w:val="en-US" w:eastAsia="zh-CN"/>
        </w:rPr>
        <w:t>系列</w:t>
      </w:r>
      <w:r>
        <w:rPr>
          <w:rFonts w:hint="default" w:ascii="Times New Roman" w:hAnsi="Times New Roman" w:eastAsia="仿宋_GB2312" w:cs="Times New Roman"/>
          <w:color w:val="auto"/>
          <w:sz w:val="32"/>
          <w:szCs w:val="32"/>
          <w:highlight w:val="none"/>
          <w:u w:val="none"/>
        </w:rPr>
        <w:t>重要讲话精神</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认真</w:t>
      </w:r>
      <w:r>
        <w:rPr>
          <w:rFonts w:hint="default" w:ascii="Times New Roman" w:hAnsi="Times New Roman" w:eastAsia="仿宋_GB2312" w:cs="Times New Roman"/>
          <w:color w:val="auto"/>
          <w:sz w:val="32"/>
          <w:szCs w:val="32"/>
          <w:highlight w:val="none"/>
          <w:u w:val="none"/>
        </w:rPr>
        <w:t>贯彻落实全国、全市教育大会精神，全面</w:t>
      </w:r>
      <w:r>
        <w:rPr>
          <w:rFonts w:hint="eastAsia" w:ascii="Times New Roman" w:hAnsi="Times New Roman" w:eastAsia="仿宋_GB2312" w:cs="Times New Roman"/>
          <w:color w:val="auto"/>
          <w:sz w:val="32"/>
          <w:szCs w:val="32"/>
          <w:highlight w:val="none"/>
          <w:u w:val="none"/>
          <w:lang w:val="en-US" w:eastAsia="zh-CN"/>
        </w:rPr>
        <w:t>贯彻党的教育方针，紧紧围绕</w:t>
      </w:r>
      <w:r>
        <w:rPr>
          <w:rFonts w:hint="default" w:ascii="Times New Roman" w:hAnsi="Times New Roman" w:eastAsia="仿宋_GB2312" w:cs="Times New Roman"/>
          <w:color w:val="auto"/>
          <w:sz w:val="32"/>
          <w:szCs w:val="32"/>
          <w:highlight w:val="none"/>
          <w:u w:val="none"/>
        </w:rPr>
        <w:t>立德树人根本任务，</w:t>
      </w:r>
      <w:r>
        <w:rPr>
          <w:rFonts w:hint="eastAsia" w:ascii="Times New Roman" w:hAnsi="Times New Roman" w:eastAsia="仿宋_GB2312" w:cs="Times New Roman"/>
          <w:color w:val="auto"/>
          <w:sz w:val="32"/>
          <w:szCs w:val="32"/>
          <w:highlight w:val="none"/>
          <w:u w:val="none"/>
          <w:lang w:val="en-US" w:eastAsia="zh-CN"/>
        </w:rPr>
        <w:t>团结带领全院教职工，扎实推进各项工作，取得了显著成效，为“十五五”时期高质量发展奠定了坚实基础</w:t>
      </w:r>
      <w:r>
        <w:rPr>
          <w:rFonts w:hint="default" w:ascii="Times New Roman" w:hAnsi="Times New Roman" w:eastAsia="仿宋_GB2312" w:cs="Times New Roman"/>
          <w:color w:val="auto"/>
          <w:sz w:val="32"/>
          <w:szCs w:val="32"/>
          <w:highlight w:val="none"/>
          <w:u w:val="none"/>
        </w:rPr>
        <w:t>。</w:t>
      </w:r>
    </w:p>
    <w:p w14:paraId="67B77826">
      <w:pPr>
        <w:keepNext w:val="0"/>
        <w:keepLines w:val="0"/>
        <w:pageBreakBefore w:val="0"/>
        <w:widowControl w:val="0"/>
        <w:tabs>
          <w:tab w:val="left" w:pos="6330"/>
        </w:tabs>
        <w:kinsoku/>
        <w:wordWrap/>
        <w:overflowPunct/>
        <w:topLinePunct w:val="0"/>
        <w:autoSpaceDE/>
        <w:autoSpaceDN/>
        <w:bidi w:val="0"/>
        <w:adjustRightInd w:val="0"/>
        <w:snapToGrid w:val="0"/>
        <w:spacing w:beforeAutospacing="0" w:afterAutospacing="0" w:line="600" w:lineRule="exact"/>
        <w:ind w:leftChars="0" w:firstLine="640" w:firstLineChars="200"/>
        <w:jc w:val="both"/>
        <w:textAlignment w:val="auto"/>
        <w:rPr>
          <w:rFonts w:hint="default" w:ascii="楷体_GB2312" w:hAnsi="楷体_GB2312" w:eastAsia="楷体_GB2312" w:cs="楷体_GB2312"/>
          <w:color w:val="auto"/>
          <w:kern w:val="2"/>
          <w:sz w:val="32"/>
          <w:szCs w:val="32"/>
          <w:u w:val="none"/>
          <w:lang w:val="en-US" w:eastAsia="zh-CN" w:bidi="ar-SA"/>
        </w:rPr>
      </w:pPr>
      <w:r>
        <w:rPr>
          <w:rFonts w:hint="eastAsia" w:ascii="楷体_GB2312" w:hAnsi="楷体_GB2312" w:eastAsia="楷体_GB2312" w:cs="楷体_GB2312"/>
          <w:i w:val="0"/>
          <w:iCs w:val="0"/>
          <w:caps w:val="0"/>
          <w:color w:val="000000"/>
          <w:spacing w:val="0"/>
          <w:sz w:val="32"/>
          <w:szCs w:val="32"/>
          <w:u w:val="none"/>
          <w:lang w:eastAsia="zh-CN"/>
        </w:rPr>
        <w:t>（</w:t>
      </w:r>
      <w:r>
        <w:rPr>
          <w:rFonts w:hint="eastAsia" w:ascii="楷体_GB2312" w:hAnsi="楷体_GB2312" w:eastAsia="楷体_GB2312" w:cs="楷体_GB2312"/>
          <w:i w:val="0"/>
          <w:iCs w:val="0"/>
          <w:caps w:val="0"/>
          <w:color w:val="000000"/>
          <w:spacing w:val="0"/>
          <w:sz w:val="32"/>
          <w:szCs w:val="32"/>
          <w:u w:val="none"/>
          <w:lang w:val="en-US" w:eastAsia="zh-CN"/>
        </w:rPr>
        <w:t>一</w:t>
      </w:r>
      <w:r>
        <w:rPr>
          <w:rFonts w:hint="eastAsia" w:ascii="楷体_GB2312" w:hAnsi="楷体_GB2312" w:eastAsia="楷体_GB2312" w:cs="楷体_GB2312"/>
          <w:i w:val="0"/>
          <w:iCs w:val="0"/>
          <w:caps w:val="0"/>
          <w:color w:val="000000"/>
          <w:spacing w:val="0"/>
          <w:sz w:val="32"/>
          <w:szCs w:val="32"/>
          <w:u w:val="none"/>
          <w:lang w:eastAsia="zh-CN"/>
        </w:rPr>
        <w:t>）</w:t>
      </w:r>
      <w:r>
        <w:rPr>
          <w:rFonts w:hint="eastAsia" w:ascii="楷体_GB2312" w:hAnsi="楷体_GB2312" w:eastAsia="楷体_GB2312" w:cs="楷体_GB2312"/>
          <w:b w:val="0"/>
          <w:bCs w:val="0"/>
          <w:i w:val="0"/>
          <w:iCs w:val="0"/>
          <w:caps w:val="0"/>
          <w:color w:val="000000"/>
          <w:spacing w:val="0"/>
          <w:sz w:val="32"/>
          <w:szCs w:val="32"/>
          <w:u w:val="none"/>
          <w:lang w:val="en-US" w:eastAsia="zh-CN"/>
        </w:rPr>
        <w:t>强化政治引领，党的全面领导持续加强</w:t>
      </w:r>
    </w:p>
    <w:p w14:paraId="2B690C85">
      <w:pPr>
        <w:keepNext w:val="0"/>
        <w:keepLines w:val="0"/>
        <w:pageBreakBefore w:val="0"/>
        <w:widowControl w:val="0"/>
        <w:numPr>
          <w:ilvl w:val="0"/>
          <w:numId w:val="0"/>
        </w:numPr>
        <w:tabs>
          <w:tab w:val="left" w:pos="6330"/>
        </w:tabs>
        <w:kinsoku/>
        <w:wordWrap/>
        <w:overflowPunct/>
        <w:topLinePunct w:val="0"/>
        <w:autoSpaceDE/>
        <w:autoSpaceDN/>
        <w:bidi w:val="0"/>
        <w:adjustRightInd w:val="0"/>
        <w:snapToGrid w:val="0"/>
        <w:spacing w:beforeAutospacing="0" w:afterAutospacing="0" w:line="600" w:lineRule="exact"/>
        <w:ind w:leftChars="0" w:firstLine="643" w:firstLineChars="200"/>
        <w:jc w:val="both"/>
        <w:textAlignment w:val="auto"/>
        <w:rPr>
          <w:rFonts w:hint="eastAsia" w:ascii="Times New Roman" w:hAnsi="Times New Roman" w:eastAsia="仿宋_GB2312" w:cs="Times New Roman"/>
          <w:b w:val="0"/>
          <w:bCs w:val="0"/>
          <w:sz w:val="32"/>
          <w:szCs w:val="32"/>
          <w:u w:val="none"/>
          <w:lang w:val="en-US" w:eastAsia="zh-CN" w:bidi="zh-CN"/>
        </w:rPr>
      </w:pPr>
      <w:r>
        <w:rPr>
          <w:rFonts w:hint="eastAsia" w:ascii="Times New Roman" w:hAnsi="Times New Roman" w:eastAsia="仿宋_GB2312" w:cs="Times New Roman"/>
          <w:b/>
          <w:bCs/>
          <w:sz w:val="32"/>
          <w:szCs w:val="32"/>
          <w:u w:val="none"/>
          <w:lang w:val="en-US" w:eastAsia="zh-CN" w:bidi="zh-CN"/>
        </w:rPr>
        <w:t>始终把党的政治建设摆在首位。</w:t>
      </w:r>
      <w:r>
        <w:rPr>
          <w:rFonts w:hint="eastAsia" w:ascii="Times New Roman" w:hAnsi="Times New Roman" w:eastAsia="仿宋_GB2312" w:cs="Times New Roman"/>
          <w:b w:val="0"/>
          <w:bCs w:val="0"/>
          <w:sz w:val="32"/>
          <w:szCs w:val="32"/>
          <w:u w:val="none"/>
          <w:lang w:val="en-US" w:eastAsia="zh-CN" w:bidi="zh-CN"/>
        </w:rPr>
        <w:t>把政治标准和政治要求贯穿管党治党、办学治校全过程。</w:t>
      </w:r>
      <w:r>
        <w:rPr>
          <w:rFonts w:hint="eastAsia" w:ascii="Times New Roman" w:hAnsi="Times New Roman" w:eastAsia="仿宋_GB2312" w:cs="Times New Roman"/>
          <w:color w:val="auto"/>
          <w:sz w:val="32"/>
          <w:szCs w:val="32"/>
          <w:u w:val="none"/>
          <w:lang w:val="en-US" w:eastAsia="zh-CN"/>
        </w:rPr>
        <w:t>深刻领悟“两个确立”的决定性意义，增强“四个意识”、坚定“四个自信”、做到“两个维护”。坚持不懈用党的创新理论凝心铸魂，扎实开展“不忘初心、牢记使命”主题教育、党史学习教育、学习贯彻习近平新时代中国特色社会主义思想主题教育、党纪学习教育及</w:t>
      </w:r>
      <w:r>
        <w:rPr>
          <w:rFonts w:hint="eastAsia" w:ascii="Times New Roman" w:hAnsi="Times New Roman" w:eastAsia="仿宋_GB2312" w:cs="Times New Roman"/>
          <w:i w:val="0"/>
          <w:iCs w:val="0"/>
          <w:caps w:val="0"/>
          <w:color w:val="auto"/>
          <w:spacing w:val="0"/>
          <w:sz w:val="32"/>
          <w:szCs w:val="32"/>
          <w:u w:val="none"/>
          <w:shd w:val="clear"/>
        </w:rPr>
        <w:t>深入贯彻</w:t>
      </w:r>
      <w:r>
        <w:rPr>
          <w:rFonts w:hint="eastAsia" w:ascii="Times New Roman" w:hAnsi="Times New Roman" w:eastAsia="仿宋_GB2312" w:cs="Times New Roman"/>
          <w:i w:val="0"/>
          <w:iCs w:val="0"/>
          <w:caps w:val="0"/>
          <w:color w:val="auto"/>
          <w:spacing w:val="0"/>
          <w:sz w:val="32"/>
          <w:szCs w:val="32"/>
          <w:u w:val="none"/>
          <w:shd w:val="clear" w:fill="auto"/>
        </w:rPr>
        <w:t>中央</w:t>
      </w:r>
      <w:r>
        <w:rPr>
          <w:rFonts w:hint="eastAsia" w:ascii="Times New Roman" w:hAnsi="Times New Roman" w:eastAsia="仿宋_GB2312" w:cs="Times New Roman"/>
          <w:i w:val="0"/>
          <w:iCs w:val="0"/>
          <w:caps w:val="0"/>
          <w:color w:val="auto"/>
          <w:spacing w:val="0"/>
          <w:sz w:val="32"/>
          <w:szCs w:val="32"/>
          <w:u w:val="none"/>
          <w:shd w:val="clear"/>
        </w:rPr>
        <w:t>八项规定精神学习教育</w:t>
      </w:r>
      <w:r>
        <w:rPr>
          <w:rFonts w:hint="eastAsia" w:ascii="Times New Roman" w:hAnsi="Times New Roman" w:eastAsia="仿宋_GB2312" w:cs="Times New Roman"/>
          <w:color w:val="auto"/>
          <w:sz w:val="32"/>
          <w:szCs w:val="32"/>
          <w:u w:val="none"/>
          <w:lang w:val="en-US" w:eastAsia="zh-CN"/>
        </w:rPr>
        <w:t>。坚持党委常委会“第一议题”制度，构建党的创新理论“七个纳入”学习机制，完善两级党委理论学习中心组学习制度。严格落实意识形</w:t>
      </w:r>
      <w:r>
        <w:rPr>
          <w:rFonts w:hint="eastAsia" w:ascii="Times New Roman" w:hAnsi="Times New Roman" w:eastAsia="仿宋_GB2312" w:cs="Times New Roman"/>
          <w:b w:val="0"/>
          <w:bCs w:val="0"/>
          <w:sz w:val="32"/>
          <w:szCs w:val="32"/>
          <w:u w:val="none"/>
          <w:lang w:val="en-US" w:eastAsia="zh-CN" w:bidi="zh-CN"/>
        </w:rPr>
        <w:t>态工作责任制，切实管好各类阵地，牢牢掌握党对意识形态工作的领导权。</w:t>
      </w:r>
    </w:p>
    <w:p w14:paraId="11F91D6F">
      <w:pPr>
        <w:keepNext w:val="0"/>
        <w:keepLines w:val="0"/>
        <w:pageBreakBefore w:val="0"/>
        <w:widowControl w:val="0"/>
        <w:numPr>
          <w:ilvl w:val="0"/>
          <w:numId w:val="0"/>
        </w:numPr>
        <w:tabs>
          <w:tab w:val="left" w:pos="6330"/>
        </w:tabs>
        <w:kinsoku/>
        <w:wordWrap/>
        <w:overflowPunct/>
        <w:topLinePunct w:val="0"/>
        <w:autoSpaceDE/>
        <w:autoSpaceDN/>
        <w:bidi w:val="0"/>
        <w:adjustRightInd w:val="0"/>
        <w:snapToGrid w:val="0"/>
        <w:spacing w:beforeAutospacing="0" w:afterAutospacing="0" w:line="600" w:lineRule="exact"/>
        <w:ind w:leftChars="0" w:firstLine="643" w:firstLineChars="200"/>
        <w:jc w:val="both"/>
        <w:textAlignment w:val="auto"/>
        <w:rPr>
          <w:rFonts w:hint="eastAsia" w:ascii="仿宋_GB2312" w:hAnsi="仿宋_GB2312" w:eastAsia="仿宋_GB2312" w:cs="仿宋_GB2312"/>
          <w:b w:val="0"/>
          <w:bCs w:val="0"/>
          <w:color w:val="auto"/>
          <w:sz w:val="32"/>
          <w:szCs w:val="32"/>
          <w:u w:val="none"/>
          <w:lang w:val="en-US" w:eastAsia="zh-CN" w:bidi="zh-CN"/>
        </w:rPr>
      </w:pPr>
      <w:r>
        <w:rPr>
          <w:rFonts w:hint="eastAsia" w:ascii="Times New Roman" w:hAnsi="Times New Roman" w:eastAsia="仿宋_GB2312" w:cs="Times New Roman"/>
          <w:b/>
          <w:bCs/>
          <w:color w:val="auto"/>
          <w:sz w:val="32"/>
          <w:szCs w:val="32"/>
          <w:highlight w:val="none"/>
          <w:u w:val="none"/>
          <w:lang w:val="en-US" w:eastAsia="zh-CN"/>
        </w:rPr>
        <w:t>党的领导体制持续健全。</w:t>
      </w:r>
      <w:r>
        <w:rPr>
          <w:rFonts w:hint="eastAsia" w:ascii="Times New Roman" w:hAnsi="Times New Roman" w:eastAsia="仿宋_GB2312" w:cs="Times New Roman"/>
          <w:b w:val="0"/>
          <w:bCs w:val="0"/>
          <w:sz w:val="32"/>
          <w:szCs w:val="32"/>
          <w:u w:val="none"/>
          <w:lang w:val="en-US" w:eastAsia="zh-CN" w:bidi="zh-CN"/>
        </w:rPr>
        <w:t>落实党委领导下的校长负责制，修订完善“三重一大”集体决策制度和党委全委会会议、党委常委会会议、院长办公会议议事规则，构建“1+6”制度体系。大力加强学院领导班子建设，不断提高政治能力和领导水平，</w:t>
      </w:r>
      <w:r>
        <w:rPr>
          <w:rFonts w:hint="eastAsia" w:ascii="仿宋_GB2312" w:hAnsi="仿宋_GB2312" w:eastAsia="仿宋_GB2312" w:cs="仿宋_GB2312"/>
          <w:b w:val="0"/>
          <w:bCs w:val="0"/>
          <w:color w:val="auto"/>
          <w:sz w:val="32"/>
          <w:szCs w:val="32"/>
          <w:u w:val="none"/>
          <w:lang w:val="en-US" w:eastAsia="zh-CN" w:bidi="zh-CN"/>
        </w:rPr>
        <w:t>以“五个表率”要求，着力打造政治过硬、理论扎实、真抓实干、团结奋进、廉洁自律的模范班子。</w:t>
      </w:r>
      <w:r>
        <w:rPr>
          <w:rFonts w:hint="eastAsia" w:ascii="Times New Roman" w:hAnsi="Times New Roman" w:eastAsia="仿宋_GB2312" w:cs="Times New Roman"/>
          <w:b w:val="0"/>
          <w:bCs w:val="0"/>
          <w:sz w:val="32"/>
          <w:szCs w:val="32"/>
          <w:u w:val="none"/>
          <w:lang w:val="en-US" w:eastAsia="zh-CN" w:bidi="zh-CN"/>
        </w:rPr>
        <w:t>成功召开第四次党员代表大会，</w:t>
      </w:r>
      <w:r>
        <w:rPr>
          <w:rFonts w:hint="eastAsia" w:ascii="仿宋_GB2312" w:hAnsi="仿宋_GB2312" w:eastAsia="仿宋_GB2312" w:cs="仿宋_GB2312"/>
          <w:b w:val="0"/>
          <w:bCs w:val="0"/>
          <w:color w:val="auto"/>
          <w:sz w:val="32"/>
          <w:szCs w:val="32"/>
          <w:u w:val="none"/>
          <w:lang w:val="en-US" w:eastAsia="zh-CN" w:bidi="zh-CN"/>
        </w:rPr>
        <w:t>为学院发展凝聚强大共识与奋进力量。</w:t>
      </w:r>
    </w:p>
    <w:p w14:paraId="6DE2FFC0">
      <w:pPr>
        <w:keepNext w:val="0"/>
        <w:keepLines w:val="0"/>
        <w:pageBreakBefore w:val="0"/>
        <w:widowControl w:val="0"/>
        <w:numPr>
          <w:ilvl w:val="0"/>
          <w:numId w:val="0"/>
        </w:numPr>
        <w:tabs>
          <w:tab w:val="left" w:pos="6330"/>
        </w:tabs>
        <w:kinsoku/>
        <w:wordWrap/>
        <w:overflowPunct/>
        <w:topLinePunct w:val="0"/>
        <w:autoSpaceDE/>
        <w:autoSpaceDN/>
        <w:bidi w:val="0"/>
        <w:adjustRightInd w:val="0"/>
        <w:snapToGrid w:val="0"/>
        <w:spacing w:beforeAutospacing="0" w:afterAutospacing="0" w:line="600" w:lineRule="exact"/>
        <w:ind w:leftChars="0" w:firstLine="643" w:firstLineChars="200"/>
        <w:jc w:val="both"/>
        <w:textAlignment w:val="auto"/>
        <w:rPr>
          <w:rFonts w:hint="eastAsia" w:ascii="Times New Roman" w:hAnsi="Times New Roman" w:eastAsia="仿宋_GB2312" w:cs="Times New Roman"/>
          <w:b w:val="0"/>
          <w:bCs w:val="0"/>
          <w:sz w:val="32"/>
          <w:szCs w:val="32"/>
          <w:u w:val="none"/>
          <w:lang w:val="en-US" w:eastAsia="zh-CN" w:bidi="zh-CN"/>
        </w:rPr>
      </w:pPr>
      <w:r>
        <w:rPr>
          <w:rFonts w:hint="default" w:ascii="Times New Roman" w:hAnsi="Times New Roman" w:eastAsia="仿宋_GB2312" w:cs="Times New Roman"/>
          <w:b/>
          <w:bCs/>
          <w:color w:val="auto"/>
          <w:sz w:val="32"/>
          <w:szCs w:val="32"/>
          <w:highlight w:val="none"/>
          <w:u w:val="none"/>
          <w:lang w:val="en-US" w:eastAsia="zh-CN"/>
        </w:rPr>
        <w:t>组织体系与干部队伍建设全面加强</w:t>
      </w:r>
      <w:r>
        <w:rPr>
          <w:rFonts w:hint="default" w:ascii="仿宋_GB2312" w:hAnsi="仿宋_GB2312" w:eastAsia="仿宋_GB2312" w:cs="仿宋_GB2312"/>
          <w:b w:val="0"/>
          <w:bCs w:val="0"/>
          <w:color w:val="auto"/>
          <w:sz w:val="32"/>
          <w:szCs w:val="32"/>
          <w:highlight w:val="none"/>
          <w:u w:val="none"/>
          <w:lang w:val="en-US" w:eastAsia="zh-CN" w:bidi="zh-CN"/>
        </w:rPr>
        <w:t>。</w:t>
      </w:r>
      <w:r>
        <w:rPr>
          <w:rFonts w:hint="eastAsia" w:ascii="仿宋_GB2312" w:hAnsi="宋体" w:eastAsia="仿宋_GB2312" w:cs="仿宋_GB2312"/>
          <w:color w:val="000000"/>
          <w:kern w:val="0"/>
          <w:sz w:val="32"/>
          <w:szCs w:val="32"/>
          <w:u w:val="none"/>
          <w:lang w:val="en-US" w:eastAsia="zh-CN" w:bidi="ar"/>
        </w:rPr>
        <w:t>持续深化</w:t>
      </w:r>
      <w:r>
        <w:rPr>
          <w:rFonts w:ascii="仿宋_GB2312" w:hAnsi="宋体" w:eastAsia="仿宋_GB2312" w:cs="仿宋_GB2312"/>
          <w:color w:val="000000"/>
          <w:kern w:val="0"/>
          <w:sz w:val="32"/>
          <w:szCs w:val="32"/>
          <w:u w:val="none"/>
          <w:lang w:val="en-US" w:eastAsia="zh-CN" w:bidi="ar"/>
        </w:rPr>
        <w:t>综</w:t>
      </w:r>
      <w:r>
        <w:rPr>
          <w:rFonts w:hint="eastAsia" w:ascii="仿宋_GB2312" w:hAnsi="宋体" w:eastAsia="仿宋_GB2312" w:cs="仿宋_GB2312"/>
          <w:color w:val="000000"/>
          <w:kern w:val="0"/>
          <w:sz w:val="32"/>
          <w:szCs w:val="32"/>
          <w:u w:val="none"/>
          <w:lang w:val="en-US" w:eastAsia="zh-CN" w:bidi="ar"/>
        </w:rPr>
        <w:t>合改革，优化机构设置、职能配置和编制配备，</w:t>
      </w:r>
      <w:r>
        <w:rPr>
          <w:rFonts w:hint="eastAsia" w:ascii="Times New Roman" w:hAnsi="Times New Roman" w:eastAsia="仿宋_GB2312" w:cs="Times New Roman"/>
          <w:b w:val="0"/>
          <w:bCs w:val="0"/>
          <w:sz w:val="32"/>
          <w:szCs w:val="32"/>
          <w:highlight w:val="none"/>
          <w:u w:val="none"/>
          <w:lang w:val="en-US" w:eastAsia="zh-CN" w:bidi="zh-CN"/>
        </w:rPr>
        <w:t>健全党委部门设置。</w:t>
      </w:r>
      <w:r>
        <w:rPr>
          <w:rFonts w:hint="eastAsia" w:ascii="Times New Roman" w:hAnsi="Times New Roman" w:eastAsia="仿宋_GB2312" w:cs="Times New Roman"/>
          <w:b w:val="0"/>
          <w:bCs w:val="0"/>
          <w:sz w:val="32"/>
          <w:szCs w:val="32"/>
          <w:u w:val="none"/>
          <w:lang w:val="en-US" w:eastAsia="zh-CN" w:bidi="zh-CN"/>
        </w:rPr>
        <w:t>顺利完成两级党组织集中换届，教师党支部书记“双带头人”配备比例达100%。坚持党管干部原则，规范中层干部选任与管理，优化干部队伍年龄、专业结构，加强年轻干部培养历练，选派干部参加市委巡视、援青援疆、担任驻村第一书记，干部队伍活力和战斗力持续增强。</w:t>
      </w:r>
    </w:p>
    <w:p w14:paraId="671913D9">
      <w:pPr>
        <w:keepNext w:val="0"/>
        <w:keepLines w:val="0"/>
        <w:pageBreakBefore w:val="0"/>
        <w:widowControl w:val="0"/>
        <w:numPr>
          <w:ilvl w:val="0"/>
          <w:numId w:val="0"/>
        </w:numPr>
        <w:tabs>
          <w:tab w:val="left" w:pos="6330"/>
        </w:tabs>
        <w:kinsoku/>
        <w:wordWrap/>
        <w:overflowPunct/>
        <w:topLinePunct w:val="0"/>
        <w:autoSpaceDE/>
        <w:autoSpaceDN/>
        <w:bidi w:val="0"/>
        <w:adjustRightInd w:val="0"/>
        <w:snapToGrid w:val="0"/>
        <w:spacing w:beforeAutospacing="0" w:afterAutospacing="0" w:line="600" w:lineRule="exact"/>
        <w:ind w:leftChars="0" w:firstLine="643" w:firstLineChars="200"/>
        <w:jc w:val="both"/>
        <w:textAlignment w:val="auto"/>
        <w:rPr>
          <w:rFonts w:hint="eastAsia" w:ascii="Times New Roman" w:hAnsi="Times New Roman" w:eastAsia="仿宋_GB2312" w:cs="Times New Roman"/>
          <w:b w:val="0"/>
          <w:bCs w:val="0"/>
          <w:sz w:val="32"/>
          <w:szCs w:val="32"/>
          <w:highlight w:val="yellow"/>
          <w:u w:val="none"/>
          <w:lang w:val="en-US" w:eastAsia="zh-CN" w:bidi="zh-CN"/>
        </w:rPr>
      </w:pPr>
      <w:r>
        <w:rPr>
          <w:rFonts w:hint="default" w:ascii="仿宋_GB2312" w:hAnsi="仿宋_GB2312" w:eastAsia="仿宋_GB2312" w:cs="仿宋_GB2312"/>
          <w:b/>
          <w:bCs/>
          <w:color w:val="auto"/>
          <w:sz w:val="32"/>
          <w:szCs w:val="32"/>
          <w:highlight w:val="none"/>
          <w:u w:val="none"/>
          <w:lang w:val="en-US" w:eastAsia="zh-CN" w:bidi="zh-CN"/>
        </w:rPr>
        <w:t>党建工作与业务发展深度融合。</w:t>
      </w:r>
      <w:r>
        <w:rPr>
          <w:rFonts w:hint="eastAsia" w:ascii="Times New Roman" w:hAnsi="Times New Roman" w:eastAsia="仿宋_GB2312" w:cs="Times New Roman"/>
          <w:b w:val="0"/>
          <w:bCs w:val="0"/>
          <w:sz w:val="32"/>
          <w:szCs w:val="32"/>
          <w:highlight w:val="none"/>
          <w:u w:val="none"/>
          <w:lang w:val="en-US" w:eastAsia="zh-CN" w:bidi="zh-CN"/>
        </w:rPr>
        <w:t>实施“党建与业务深度融合‘五大工程’”，推进“教学质量与管理服务水平双提升”专项行动。4个基层党组织入选市级高校党建“双创”培育创建单位，1个党支部荣获北京高校“先进党组织”称号。在高校党建和思想政治工作基本标准入校检查中，教职工对学院事业发展、领导班子发挥作用等5项指标满意率达100%；</w:t>
      </w:r>
      <w:r>
        <w:rPr>
          <w:rFonts w:hint="eastAsia" w:ascii="仿宋_GB2312" w:hAnsi="仿宋_GB2312" w:eastAsia="仿宋_GB2312" w:cs="仿宋_GB2312"/>
          <w:b w:val="0"/>
          <w:bCs w:val="0"/>
          <w:color w:val="auto"/>
          <w:sz w:val="32"/>
          <w:szCs w:val="32"/>
          <w:highlight w:val="none"/>
          <w:u w:val="none"/>
          <w:lang w:val="en-US" w:eastAsia="zh-CN" w:bidi="zh-CN"/>
        </w:rPr>
        <w:t>学院领导班子测评“优秀称职率”逐年上升并持续保持高水平；</w:t>
      </w:r>
      <w:r>
        <w:rPr>
          <w:rFonts w:hint="default" w:ascii="仿宋_GB2312" w:hAnsi="仿宋_GB2312" w:eastAsia="仿宋_GB2312" w:cs="仿宋_GB2312"/>
          <w:b w:val="0"/>
          <w:bCs w:val="0"/>
          <w:color w:val="auto"/>
          <w:sz w:val="32"/>
          <w:szCs w:val="32"/>
          <w:highlight w:val="none"/>
          <w:u w:val="none"/>
          <w:lang w:val="en-US" w:eastAsia="zh-CN" w:bidi="zh-CN"/>
        </w:rPr>
        <w:t>在市属高校绩效考核中，学院两次获评“优秀”等次</w:t>
      </w:r>
      <w:r>
        <w:rPr>
          <w:rFonts w:hint="eastAsia" w:ascii="仿宋_GB2312" w:hAnsi="仿宋_GB2312" w:eastAsia="仿宋_GB2312" w:cs="仿宋_GB2312"/>
          <w:b w:val="0"/>
          <w:bCs w:val="0"/>
          <w:color w:val="auto"/>
          <w:sz w:val="32"/>
          <w:szCs w:val="32"/>
          <w:highlight w:val="none"/>
          <w:u w:val="none"/>
          <w:lang w:val="en-US" w:eastAsia="zh-CN" w:bidi="zh-CN"/>
        </w:rPr>
        <w:t>，</w:t>
      </w:r>
      <w:r>
        <w:rPr>
          <w:rFonts w:hint="default" w:ascii="仿宋_GB2312" w:hAnsi="仿宋_GB2312" w:eastAsia="仿宋_GB2312" w:cs="仿宋_GB2312"/>
          <w:b w:val="0"/>
          <w:bCs w:val="0"/>
          <w:color w:val="auto"/>
          <w:sz w:val="32"/>
          <w:szCs w:val="32"/>
          <w:highlight w:val="none"/>
          <w:u w:val="none"/>
          <w:lang w:val="en-US" w:eastAsia="zh-CN" w:bidi="zh-CN"/>
        </w:rPr>
        <w:t>干部</w:t>
      </w:r>
      <w:r>
        <w:rPr>
          <w:rFonts w:hint="eastAsia" w:ascii="仿宋_GB2312" w:hAnsi="仿宋_GB2312" w:eastAsia="仿宋_GB2312" w:cs="仿宋_GB2312"/>
          <w:b w:val="0"/>
          <w:bCs w:val="0"/>
          <w:color w:val="auto"/>
          <w:sz w:val="32"/>
          <w:szCs w:val="32"/>
          <w:highlight w:val="none"/>
          <w:u w:val="none"/>
          <w:lang w:val="en-US" w:eastAsia="zh-CN" w:bidi="zh-CN"/>
        </w:rPr>
        <w:t>群众</w:t>
      </w:r>
      <w:r>
        <w:rPr>
          <w:rFonts w:hint="default" w:ascii="仿宋_GB2312" w:hAnsi="仿宋_GB2312" w:eastAsia="仿宋_GB2312" w:cs="仿宋_GB2312"/>
          <w:b w:val="0"/>
          <w:bCs w:val="0"/>
          <w:color w:val="auto"/>
          <w:sz w:val="32"/>
          <w:szCs w:val="32"/>
          <w:highlight w:val="none"/>
          <w:u w:val="none"/>
          <w:lang w:val="en-US" w:eastAsia="zh-CN" w:bidi="zh-CN"/>
        </w:rPr>
        <w:t>的</w:t>
      </w:r>
      <w:r>
        <w:rPr>
          <w:rFonts w:hint="default" w:ascii="仿宋_GB2312" w:hAnsi="仿宋_GB2312" w:eastAsia="仿宋_GB2312" w:cs="仿宋_GB2312"/>
          <w:b w:val="0"/>
          <w:bCs w:val="0"/>
          <w:color w:val="auto"/>
          <w:sz w:val="32"/>
          <w:szCs w:val="32"/>
          <w:u w:val="none"/>
          <w:lang w:val="en-US" w:eastAsia="zh-CN" w:bidi="zh-CN"/>
        </w:rPr>
        <w:t>认可度、满意度持续提升</w:t>
      </w:r>
      <w:r>
        <w:rPr>
          <w:rFonts w:hint="eastAsia" w:ascii="Times New Roman" w:hAnsi="Times New Roman" w:eastAsia="仿宋_GB2312" w:cs="Times New Roman"/>
          <w:b w:val="0"/>
          <w:bCs w:val="0"/>
          <w:sz w:val="32"/>
          <w:szCs w:val="32"/>
          <w:u w:val="none"/>
          <w:lang w:val="en-US" w:eastAsia="zh-CN" w:bidi="zh-CN"/>
        </w:rPr>
        <w:t>。</w:t>
      </w:r>
    </w:p>
    <w:p w14:paraId="0C0AE9AC">
      <w:pPr>
        <w:keepNext w:val="0"/>
        <w:keepLines w:val="0"/>
        <w:pageBreakBefore w:val="0"/>
        <w:widowControl w:val="0"/>
        <w:numPr>
          <w:ilvl w:val="0"/>
          <w:numId w:val="0"/>
        </w:numPr>
        <w:tabs>
          <w:tab w:val="left" w:pos="6330"/>
        </w:tabs>
        <w:kinsoku/>
        <w:wordWrap/>
        <w:overflowPunct/>
        <w:topLinePunct w:val="0"/>
        <w:autoSpaceDE/>
        <w:autoSpaceDN/>
        <w:bidi w:val="0"/>
        <w:adjustRightInd w:val="0"/>
        <w:snapToGrid w:val="0"/>
        <w:spacing w:beforeAutospacing="0" w:afterAutospacing="0" w:line="600" w:lineRule="exact"/>
        <w:ind w:leftChars="0" w:firstLine="643" w:firstLineChars="200"/>
        <w:jc w:val="both"/>
        <w:textAlignment w:val="auto"/>
        <w:rPr>
          <w:rFonts w:hint="default" w:ascii="Times New Roman" w:hAnsi="Times New Roman" w:eastAsia="仿宋_GB2312" w:cs="Times New Roman"/>
          <w:bCs/>
          <w:sz w:val="32"/>
          <w:szCs w:val="32"/>
          <w:u w:val="none"/>
          <w:lang w:val="en-US" w:eastAsia="zh-CN"/>
        </w:rPr>
      </w:pPr>
      <w:r>
        <w:rPr>
          <w:rFonts w:hint="eastAsia" w:ascii="Times New Roman" w:hAnsi="Times New Roman" w:eastAsia="仿宋_GB2312" w:cs="Times New Roman"/>
          <w:b/>
          <w:bCs w:val="0"/>
          <w:sz w:val="32"/>
          <w:szCs w:val="32"/>
          <w:u w:val="none"/>
          <w:lang w:val="en-US" w:eastAsia="zh-CN"/>
        </w:rPr>
        <w:t>全面从严治党向纵深发展。</w:t>
      </w:r>
      <w:r>
        <w:rPr>
          <w:rFonts w:hint="eastAsia" w:ascii="Times New Roman" w:hAnsi="Times New Roman" w:eastAsia="仿宋_GB2312" w:cs="Times New Roman"/>
          <w:bCs/>
          <w:sz w:val="32"/>
          <w:szCs w:val="32"/>
          <w:u w:val="none"/>
          <w:lang w:val="en-US" w:eastAsia="zh-CN"/>
        </w:rPr>
        <w:t>把严的标准、严的措施贯穿于管党治党全过程、各方面。</w:t>
      </w:r>
      <w:r>
        <w:rPr>
          <w:rFonts w:hint="eastAsia" w:ascii="Times New Roman" w:hAnsi="Times New Roman" w:eastAsia="仿宋_GB2312" w:cs="Times New Roman"/>
          <w:b w:val="0"/>
          <w:bCs w:val="0"/>
          <w:sz w:val="32"/>
          <w:szCs w:val="32"/>
          <w:u w:val="none"/>
          <w:lang w:val="en-US" w:eastAsia="zh-CN" w:bidi="zh-CN"/>
        </w:rPr>
        <w:t>坚决扛起巡视整改政治责任，扎实推进问题整改。</w:t>
      </w:r>
      <w:r>
        <w:rPr>
          <w:rFonts w:hint="eastAsia" w:ascii="Times New Roman" w:hAnsi="Times New Roman" w:eastAsia="仿宋_GB2312" w:cs="Times New Roman"/>
          <w:bCs/>
          <w:sz w:val="32"/>
          <w:szCs w:val="32"/>
          <w:u w:val="none"/>
          <w:lang w:val="en-US" w:eastAsia="zh-CN"/>
        </w:rPr>
        <w:t>高质量完成三届党委巡察全覆盖，稳步推进四届党委巡察工作规划实施。严格执行中央八项规定精神，持之以恒纠治“四风”，</w:t>
      </w:r>
      <w:r>
        <w:rPr>
          <w:rFonts w:hint="eastAsia" w:ascii="Times New Roman" w:hAnsi="Times New Roman" w:eastAsia="仿宋_GB2312" w:cs="Times New Roman"/>
          <w:bCs/>
          <w:kern w:val="2"/>
          <w:sz w:val="32"/>
          <w:szCs w:val="32"/>
          <w:u w:val="none"/>
          <w:lang w:val="en-US" w:eastAsia="zh-CN" w:bidi="ar-SA"/>
        </w:rPr>
        <w:t>一体推进“三不腐”</w:t>
      </w:r>
      <w:r>
        <w:rPr>
          <w:rFonts w:hint="eastAsia" w:ascii="Times New Roman" w:hAnsi="Times New Roman" w:eastAsia="仿宋_GB2312" w:cs="Times New Roman"/>
          <w:bCs/>
          <w:sz w:val="32"/>
          <w:szCs w:val="32"/>
          <w:u w:val="none"/>
          <w:lang w:val="en-US" w:eastAsia="zh-CN"/>
        </w:rPr>
        <w:t>。深化运用监督执纪“四种形态”，加强廉洁文化建设和警示教育，定期发布廉洁提醒</w:t>
      </w:r>
      <w:r>
        <w:rPr>
          <w:rFonts w:hint="eastAsia" w:ascii="Times New Roman" w:hAnsi="Times New Roman" w:eastAsia="仿宋_GB2312" w:cs="Times New Roman"/>
          <w:bCs/>
          <w:sz w:val="32"/>
          <w:szCs w:val="32"/>
          <w:highlight w:val="none"/>
          <w:u w:val="none"/>
          <w:lang w:val="en-US" w:eastAsia="zh-CN"/>
        </w:rPr>
        <w:t>，4件廉洁作品在北京高校廉洁文化建设成果征集活动中获奖。</w:t>
      </w:r>
      <w:r>
        <w:rPr>
          <w:rFonts w:hint="eastAsia" w:ascii="Times New Roman" w:hAnsi="Times New Roman" w:eastAsia="仿宋_GB2312" w:cs="Times New Roman"/>
          <w:bCs/>
          <w:sz w:val="32"/>
          <w:szCs w:val="32"/>
          <w:u w:val="none"/>
          <w:lang w:val="en-US" w:eastAsia="zh-CN"/>
        </w:rPr>
        <w:t>严格落实党风廉政建设责任制，压紧压实“两个责任”，推动全面从严治党向基层延伸。健全权力运行监督机制，加强对重点领域和关键环节的廉政风险防控，持续净化政治生态。</w:t>
      </w:r>
    </w:p>
    <w:p w14:paraId="2D8047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default" w:ascii="Times New Roman" w:hAnsi="Times New Roman" w:eastAsia="仿宋_GB2312" w:cs="Times New Roman"/>
          <w:bCs/>
          <w:sz w:val="32"/>
          <w:szCs w:val="32"/>
          <w:u w:val="none"/>
          <w:lang w:val="en-US" w:eastAsia="zh-CN"/>
        </w:rPr>
      </w:pPr>
      <w:r>
        <w:rPr>
          <w:rFonts w:hint="eastAsia" w:ascii="Times New Roman" w:hAnsi="Times New Roman" w:eastAsia="仿宋_GB2312" w:cs="Times New Roman"/>
          <w:b/>
          <w:bCs w:val="0"/>
          <w:sz w:val="32"/>
          <w:szCs w:val="32"/>
          <w:highlight w:val="none"/>
          <w:u w:val="none"/>
          <w:lang w:val="en-US" w:eastAsia="zh-CN"/>
        </w:rPr>
        <w:t>民主管理扎实推进</w:t>
      </w:r>
      <w:r>
        <w:rPr>
          <w:rFonts w:hint="eastAsia" w:ascii="Times New Roman" w:hAnsi="Times New Roman" w:eastAsia="仿宋_GB2312" w:cs="Times New Roman"/>
          <w:b/>
          <w:bCs w:val="0"/>
          <w:sz w:val="32"/>
          <w:szCs w:val="32"/>
          <w:u w:val="none"/>
          <w:lang w:val="en-US" w:eastAsia="zh-CN"/>
        </w:rPr>
        <w:t>。</w:t>
      </w:r>
      <w:r>
        <w:rPr>
          <w:rFonts w:ascii="Times New Roman" w:hAnsi="Times New Roman" w:eastAsia="仿宋_GB2312" w:cs="Times New Roman"/>
          <w:bCs/>
          <w:sz w:val="32"/>
          <w:szCs w:val="32"/>
          <w:u w:val="none"/>
        </w:rPr>
        <w:t>加强统战、群团、工会和侨联工作</w:t>
      </w:r>
      <w:r>
        <w:rPr>
          <w:rFonts w:hint="eastAsia" w:ascii="Times New Roman" w:hAnsi="Times New Roman" w:eastAsia="仿宋_GB2312" w:cs="Times New Roman"/>
          <w:bCs/>
          <w:sz w:val="32"/>
          <w:szCs w:val="32"/>
          <w:u w:val="none"/>
          <w:lang w:eastAsia="zh-CN"/>
        </w:rPr>
        <w:t>，</w:t>
      </w:r>
      <w:r>
        <w:rPr>
          <w:rFonts w:hint="default" w:ascii="Times New Roman" w:hAnsi="Times New Roman" w:eastAsia="仿宋_GB2312" w:cs="Times New Roman"/>
          <w:bCs/>
          <w:color w:val="auto"/>
          <w:kern w:val="2"/>
          <w:sz w:val="32"/>
          <w:szCs w:val="32"/>
          <w:u w:val="none"/>
          <w:lang w:val="en-US" w:eastAsia="zh-CN" w:bidi="ar-SA"/>
        </w:rPr>
        <w:t>深化教代会、工会</w:t>
      </w:r>
      <w:r>
        <w:rPr>
          <w:rFonts w:hint="eastAsia" w:ascii="Times New Roman" w:hAnsi="Times New Roman" w:eastAsia="仿宋_GB2312" w:cs="Times New Roman"/>
          <w:bCs/>
          <w:color w:val="auto"/>
          <w:kern w:val="2"/>
          <w:sz w:val="32"/>
          <w:szCs w:val="32"/>
          <w:u w:val="none"/>
          <w:lang w:val="en-US" w:eastAsia="zh-CN" w:bidi="ar-SA"/>
        </w:rPr>
        <w:t>职能，完善提案办理机制。</w:t>
      </w:r>
      <w:r>
        <w:rPr>
          <w:rFonts w:hint="eastAsia" w:ascii="Times New Roman" w:hAnsi="Times New Roman" w:eastAsia="仿宋_GB2312" w:cs="Times New Roman"/>
          <w:color w:val="000000"/>
          <w:sz w:val="32"/>
          <w:szCs w:val="32"/>
          <w:highlight w:val="none"/>
          <w:u w:val="none"/>
          <w:lang w:val="en-US" w:eastAsia="zh-CN"/>
        </w:rPr>
        <w:t>41</w:t>
      </w:r>
      <w:r>
        <w:rPr>
          <w:rFonts w:ascii="Times New Roman" w:hAnsi="Times New Roman" w:eastAsia="仿宋_GB2312" w:cs="Times New Roman"/>
          <w:color w:val="000000"/>
          <w:sz w:val="32"/>
          <w:szCs w:val="32"/>
          <w:highlight w:val="none"/>
          <w:u w:val="none"/>
        </w:rPr>
        <w:t>件</w:t>
      </w:r>
      <w:r>
        <w:rPr>
          <w:rFonts w:hint="eastAsia" w:ascii="Times New Roman" w:hAnsi="Times New Roman" w:eastAsia="仿宋_GB2312" w:cs="Times New Roman"/>
          <w:color w:val="000000"/>
          <w:sz w:val="32"/>
          <w:szCs w:val="32"/>
          <w:highlight w:val="none"/>
          <w:u w:val="none"/>
          <w:lang w:val="en-US" w:eastAsia="zh-CN"/>
        </w:rPr>
        <w:t>教代会</w:t>
      </w:r>
      <w:r>
        <w:rPr>
          <w:rFonts w:ascii="Times New Roman" w:hAnsi="Times New Roman" w:eastAsia="仿宋_GB2312" w:cs="Times New Roman"/>
          <w:color w:val="000000"/>
          <w:sz w:val="32"/>
          <w:szCs w:val="32"/>
          <w:highlight w:val="none"/>
          <w:u w:val="none"/>
        </w:rPr>
        <w:t>提案全部办结，代表满意度达</w:t>
      </w:r>
      <w:r>
        <w:rPr>
          <w:rFonts w:hint="eastAsia" w:ascii="Times New Roman" w:hAnsi="Times New Roman" w:eastAsia="仿宋_GB2312" w:cs="Times New Roman"/>
          <w:color w:val="000000"/>
          <w:sz w:val="32"/>
          <w:szCs w:val="32"/>
          <w:highlight w:val="none"/>
          <w:u w:val="none"/>
          <w:lang w:val="en-US" w:eastAsia="zh-CN"/>
        </w:rPr>
        <w:t>98.5%</w:t>
      </w:r>
      <w:r>
        <w:rPr>
          <w:rFonts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开展困难职工帮扶，组织</w:t>
      </w:r>
      <w:r>
        <w:rPr>
          <w:rFonts w:hint="eastAsia" w:ascii="Times New Roman" w:hAnsi="Times New Roman" w:eastAsia="仿宋_GB2312" w:cs="Times New Roman"/>
          <w:color w:val="000000"/>
          <w:sz w:val="32"/>
          <w:szCs w:val="32"/>
          <w:u w:val="none"/>
          <w:lang w:val="en-US" w:eastAsia="zh-CN"/>
        </w:rPr>
        <w:t>教职工运动会、“</w:t>
      </w:r>
      <w:r>
        <w:rPr>
          <w:rFonts w:hint="eastAsia" w:ascii="Times New Roman" w:hAnsi="Times New Roman" w:eastAsia="仿宋_GB2312" w:cs="Times New Roman"/>
          <w:b w:val="0"/>
          <w:bCs w:val="0"/>
          <w:color w:val="auto"/>
          <w:kern w:val="2"/>
          <w:sz w:val="32"/>
          <w:szCs w:val="32"/>
          <w:u w:val="none"/>
          <w:lang w:val="en-US" w:eastAsia="zh-CN" w:bidi="ar-SA"/>
        </w:rPr>
        <w:t>读书日</w:t>
      </w:r>
      <w:r>
        <w:rPr>
          <w:rFonts w:hint="eastAsia" w:ascii="Times New Roman" w:hAnsi="Times New Roman" w:eastAsia="仿宋_GB2312" w:cs="Times New Roman"/>
          <w:color w:val="000000"/>
          <w:sz w:val="32"/>
          <w:szCs w:val="32"/>
          <w:u w:val="none"/>
          <w:lang w:val="en-US" w:eastAsia="zh-CN"/>
        </w:rPr>
        <w:t>”、艺术作品展等</w:t>
      </w:r>
      <w:r>
        <w:rPr>
          <w:rFonts w:hint="eastAsia" w:ascii="Times New Roman" w:hAnsi="Times New Roman" w:eastAsia="仿宋_GB2312" w:cs="Times New Roman"/>
          <w:color w:val="000000"/>
          <w:sz w:val="32"/>
          <w:szCs w:val="32"/>
          <w:u w:val="none"/>
          <w:lang w:eastAsia="zh-CN"/>
        </w:rPr>
        <w:t>特色文化活动，提升教职工归属感与凝聚力</w:t>
      </w:r>
      <w:r>
        <w:rPr>
          <w:rFonts w:hint="eastAsia" w:ascii="Times New Roman" w:hAnsi="Times New Roman" w:eastAsia="仿宋_GB2312" w:cs="Times New Roman"/>
          <w:bCs/>
          <w:color w:val="auto"/>
          <w:kern w:val="2"/>
          <w:sz w:val="32"/>
          <w:szCs w:val="32"/>
          <w:u w:val="none"/>
          <w:lang w:val="en-US" w:eastAsia="zh-CN" w:bidi="ar-SA"/>
        </w:rPr>
        <w:t>。用心用情服务离退休老同志，在重要节庆和纪念日开展走访慰问累计2212人次，定期通报学院工作情况，充分发挥“五老”优势。</w:t>
      </w:r>
    </w:p>
    <w:p w14:paraId="60F40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88" w:firstLineChars="200"/>
        <w:jc w:val="both"/>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pacing w:val="12"/>
          <w:w w:val="100"/>
          <w:kern w:val="0"/>
          <w:sz w:val="32"/>
          <w:szCs w:val="32"/>
          <w:u w:val="none"/>
          <w:fitText w:val="8276" w:id="592467703"/>
          <w:lang w:val="en-US" w:eastAsia="zh-CN"/>
        </w:rPr>
        <w:t>（二）聚焦主责主业，</w:t>
      </w:r>
      <w:r>
        <w:rPr>
          <w:rFonts w:hint="eastAsia" w:ascii="楷体_GB2312" w:hAnsi="楷体_GB2312" w:eastAsia="楷体_GB2312" w:cs="楷体_GB2312"/>
          <w:color w:val="auto"/>
          <w:spacing w:val="12"/>
          <w:w w:val="100"/>
          <w:kern w:val="0"/>
          <w:sz w:val="32"/>
          <w:szCs w:val="32"/>
          <w:highlight w:val="none"/>
          <w:u w:val="none"/>
          <w:fitText w:val="8276" w:id="592467703"/>
          <w:lang w:val="en-US" w:eastAsia="zh-CN"/>
        </w:rPr>
        <w:t>服务首都基础教育能力显著提</w:t>
      </w:r>
      <w:r>
        <w:rPr>
          <w:rFonts w:hint="eastAsia" w:ascii="楷体_GB2312" w:hAnsi="楷体_GB2312" w:eastAsia="楷体_GB2312" w:cs="楷体_GB2312"/>
          <w:color w:val="auto"/>
          <w:spacing w:val="22"/>
          <w:w w:val="100"/>
          <w:kern w:val="0"/>
          <w:sz w:val="32"/>
          <w:szCs w:val="32"/>
          <w:highlight w:val="none"/>
          <w:u w:val="none"/>
          <w:fitText w:val="8276" w:id="592467703"/>
          <w:lang w:val="en-US" w:eastAsia="zh-CN"/>
        </w:rPr>
        <w:t>升</w:t>
      </w:r>
    </w:p>
    <w:p w14:paraId="5B035372">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Times New Roman"/>
          <w:b w:val="0"/>
          <w:bCs w:val="0"/>
          <w:sz w:val="32"/>
          <w:szCs w:val="32"/>
          <w:highlight w:val="none"/>
          <w:u w:val="none"/>
          <w:lang w:val="en-US" w:eastAsia="zh-CN" w:bidi="zh-CN"/>
        </w:rPr>
      </w:pPr>
      <w:r>
        <w:rPr>
          <w:rFonts w:hint="eastAsia" w:ascii="仿宋_GB2312" w:hAnsi="仿宋_GB2312" w:eastAsia="仿宋_GB2312" w:cs="仿宋_GB2312"/>
          <w:b/>
          <w:bCs/>
          <w:sz w:val="32"/>
          <w:szCs w:val="32"/>
          <w:u w:val="none"/>
          <w:lang w:val="en-US" w:eastAsia="zh-CN"/>
        </w:rPr>
        <w:t>高质量培训体系不断健全。</w:t>
      </w:r>
      <w:r>
        <w:rPr>
          <w:rFonts w:hint="eastAsia" w:ascii="Times New Roman" w:hAnsi="Times New Roman" w:eastAsia="仿宋_GB2312" w:cs="Times New Roman"/>
          <w:sz w:val="32"/>
          <w:szCs w:val="32"/>
          <w:u w:val="none"/>
          <w:lang w:val="en-US" w:eastAsia="zh-CN"/>
        </w:rPr>
        <w:t>紧紧围绕首都基础教育改革发展需求，遵循教育规律和教师成长规律，构建</w:t>
      </w:r>
      <w:r>
        <w:rPr>
          <w:rFonts w:hint="eastAsia" w:ascii="Times New Roman" w:hAnsi="Times New Roman" w:eastAsia="仿宋_GB2312" w:cs="Times New Roman"/>
          <w:color w:val="auto"/>
          <w:sz w:val="32"/>
          <w:szCs w:val="32"/>
          <w:u w:val="none"/>
          <w:lang w:val="en-US" w:eastAsia="zh-CN"/>
        </w:rPr>
        <w:t>“四位一体、融合贯通”的干部教师培训格局，形成从新任到优秀再到卓越的全周期干部教师培训系列。</w:t>
      </w:r>
      <w:r>
        <w:rPr>
          <w:rFonts w:hint="eastAsia" w:ascii="Times New Roman" w:hAnsi="Times New Roman" w:eastAsia="仿宋_GB2312" w:cs="Times New Roman"/>
          <w:b w:val="0"/>
          <w:bCs w:val="0"/>
          <w:sz w:val="32"/>
          <w:szCs w:val="32"/>
          <w:highlight w:val="none"/>
          <w:u w:val="none"/>
          <w:lang w:val="en-US" w:eastAsia="zh-CN" w:bidi="zh-CN"/>
        </w:rPr>
        <w:t>坚持</w:t>
      </w:r>
      <w:r>
        <w:rPr>
          <w:rFonts w:hint="eastAsia" w:ascii="Times New Roman" w:hAnsi="Times New Roman" w:eastAsia="仿宋_GB2312" w:cs="Times New Roman"/>
          <w:sz w:val="32"/>
          <w:szCs w:val="32"/>
          <w:u w:val="none"/>
          <w:lang w:val="en-US" w:eastAsia="zh-CN"/>
        </w:rPr>
        <w:t>“立足前沿、突出高端、示范引领、实践导向”，</w:t>
      </w:r>
      <w:r>
        <w:rPr>
          <w:rFonts w:hint="eastAsia" w:ascii="Times New Roman" w:hAnsi="Times New Roman" w:eastAsia="仿宋_GB2312" w:cs="Times New Roman"/>
          <w:b w:val="0"/>
          <w:bCs w:val="0"/>
          <w:sz w:val="32"/>
          <w:szCs w:val="32"/>
          <w:highlight w:val="none"/>
          <w:u w:val="none"/>
          <w:lang w:val="en-US" w:eastAsia="zh-CN" w:bidi="zh-CN"/>
        </w:rPr>
        <w:t>组织开展新任教师培训、优秀青年教师素质提升培训、特级教师工作室等培训项目2124个，培训学员48792人，培训满意率达97.5%；解决教师“教非所学”问题，培养本科第二学历学员2798人。</w:t>
      </w:r>
      <w:r>
        <w:rPr>
          <w:rFonts w:hint="default" w:ascii="Times New Roman" w:hAnsi="Times New Roman" w:eastAsia="仿宋_GB2312" w:cs="Times New Roman"/>
          <w:b w:val="0"/>
          <w:bCs w:val="0"/>
          <w:sz w:val="32"/>
          <w:szCs w:val="32"/>
          <w:highlight w:val="none"/>
          <w:u w:val="none"/>
          <w:lang w:val="en-US" w:eastAsia="zh-CN" w:bidi="zh-CN"/>
        </w:rPr>
        <w:t>培育出</w:t>
      </w:r>
      <w:r>
        <w:rPr>
          <w:rFonts w:hint="eastAsia" w:ascii="Times New Roman" w:hAnsi="Times New Roman" w:eastAsia="仿宋_GB2312" w:cs="Times New Roman"/>
          <w:b w:val="0"/>
          <w:bCs w:val="0"/>
          <w:sz w:val="32"/>
          <w:szCs w:val="32"/>
          <w:highlight w:val="none"/>
          <w:u w:val="none"/>
          <w:lang w:val="en-US" w:eastAsia="zh-CN" w:bidi="zh-CN"/>
        </w:rPr>
        <w:t>“卓越校长教师</w:t>
      </w:r>
      <w:r>
        <w:rPr>
          <w:rFonts w:hint="default" w:ascii="Times New Roman" w:hAnsi="Times New Roman" w:eastAsia="仿宋_GB2312" w:cs="Times New Roman"/>
          <w:b w:val="0"/>
          <w:bCs w:val="0"/>
          <w:sz w:val="32"/>
          <w:szCs w:val="32"/>
          <w:highlight w:val="none"/>
          <w:u w:val="none"/>
          <w:lang w:val="en-US" w:eastAsia="zh-CN" w:bidi="zh-CN"/>
        </w:rPr>
        <w:t>工作室</w:t>
      </w:r>
      <w:r>
        <w:rPr>
          <w:rFonts w:hint="eastAsia" w:ascii="Times New Roman" w:hAnsi="Times New Roman" w:eastAsia="仿宋_GB2312" w:cs="Times New Roman"/>
          <w:b w:val="0"/>
          <w:bCs w:val="0"/>
          <w:sz w:val="32"/>
          <w:szCs w:val="32"/>
          <w:highlight w:val="none"/>
          <w:u w:val="none"/>
          <w:lang w:val="en-US" w:eastAsia="zh-CN" w:bidi="zh-CN"/>
        </w:rPr>
        <w:t>涵养项目”“名师名校长发展工程”等一批卓有影响的培训品牌。深入推进强师行动，</w:t>
      </w:r>
      <w:r>
        <w:rPr>
          <w:rFonts w:hint="eastAsia" w:ascii="仿宋_GB2312" w:hAnsi="仿宋_GB2312" w:eastAsia="仿宋_GB2312" w:cs="仿宋_GB2312"/>
          <w:sz w:val="32"/>
          <w:szCs w:val="32"/>
          <w:u w:val="none"/>
          <w:lang w:val="en-US" w:eastAsia="zh-CN"/>
        </w:rPr>
        <w:t>连续举办十一期</w:t>
      </w:r>
      <w:r>
        <w:rPr>
          <w:rFonts w:hint="eastAsia" w:ascii="仿宋_GB2312" w:hAnsi="仿宋_GB2312" w:eastAsia="仿宋_GB2312" w:cs="仿宋_GB2312"/>
          <w:b w:val="0"/>
          <w:bCs w:val="0"/>
          <w:sz w:val="32"/>
          <w:szCs w:val="32"/>
          <w:u w:val="none"/>
          <w:lang w:val="en-US" w:eastAsia="zh-CN"/>
        </w:rPr>
        <w:t>“强师大讲堂”、</w:t>
      </w:r>
      <w:r>
        <w:rPr>
          <w:rFonts w:hint="eastAsia" w:ascii="仿宋_GB2312" w:hAnsi="仿宋_GB2312" w:eastAsia="仿宋_GB2312" w:cs="仿宋_GB2312"/>
          <w:b w:val="0"/>
          <w:bCs w:val="0"/>
          <w:sz w:val="32"/>
          <w:szCs w:val="32"/>
          <w:highlight w:val="none"/>
          <w:u w:val="none"/>
          <w:lang w:val="en-US" w:eastAsia="zh-CN"/>
        </w:rPr>
        <w:t>七届</w:t>
      </w:r>
      <w:r>
        <w:rPr>
          <w:rFonts w:hint="eastAsia" w:ascii="仿宋_GB2312" w:hAnsi="仿宋_GB2312" w:eastAsia="仿宋_GB2312" w:cs="仿宋_GB2312"/>
          <w:b w:val="0"/>
          <w:bCs w:val="0"/>
          <w:sz w:val="32"/>
          <w:szCs w:val="32"/>
          <w:u w:val="none"/>
          <w:lang w:val="en-US" w:eastAsia="zh-CN"/>
        </w:rPr>
        <w:t>“启航杯”</w:t>
      </w:r>
      <w:r>
        <w:rPr>
          <w:rFonts w:hint="eastAsia" w:ascii="仿宋_GB2312" w:hAnsi="仿宋_GB2312" w:eastAsia="仿宋_GB2312" w:cs="仿宋_GB2312"/>
          <w:b w:val="0"/>
          <w:bCs w:val="0"/>
          <w:sz w:val="32"/>
          <w:szCs w:val="32"/>
          <w:highlight w:val="none"/>
          <w:u w:val="none"/>
          <w:lang w:val="en-US" w:eastAsia="zh-CN"/>
        </w:rPr>
        <w:t>（第三届至第九届</w:t>
      </w:r>
      <w:r>
        <w:rPr>
          <w:rFonts w:hint="eastAsia" w:ascii="仿宋_GB2312" w:hAnsi="仿宋_GB2312" w:eastAsia="仿宋_GB2312" w:cs="仿宋_GB2312"/>
          <w:b w:val="0"/>
          <w:bCs w:val="0"/>
          <w:sz w:val="32"/>
          <w:szCs w:val="32"/>
          <w:u w:val="none"/>
          <w:lang w:val="en-US" w:eastAsia="zh-CN"/>
        </w:rPr>
        <w:t>）教学风采展示、</w:t>
      </w:r>
      <w:r>
        <w:rPr>
          <w:rFonts w:hint="eastAsia" w:ascii="仿宋_GB2312" w:hAnsi="仿宋_GB2312" w:eastAsia="仿宋_GB2312" w:cs="仿宋_GB2312"/>
          <w:b w:val="0"/>
          <w:bCs w:val="0"/>
          <w:sz w:val="32"/>
          <w:szCs w:val="32"/>
          <w:highlight w:val="none"/>
          <w:u w:val="none"/>
          <w:lang w:val="en-US" w:eastAsia="zh-CN"/>
        </w:rPr>
        <w:t>五届</w:t>
      </w:r>
      <w:r>
        <w:rPr>
          <w:rFonts w:hint="eastAsia" w:ascii="仿宋_GB2312" w:hAnsi="仿宋_GB2312" w:eastAsia="仿宋_GB2312" w:cs="仿宋_GB2312"/>
          <w:b w:val="0"/>
          <w:bCs w:val="0"/>
          <w:sz w:val="32"/>
          <w:szCs w:val="32"/>
          <w:u w:val="none"/>
          <w:lang w:val="en-US" w:eastAsia="zh-CN"/>
        </w:rPr>
        <w:t>“子曰”传统文化教育讲坛等标识性活动，</w:t>
      </w:r>
      <w:r>
        <w:rPr>
          <w:rFonts w:hint="eastAsia" w:ascii="Times New Roman" w:hAnsi="Times New Roman" w:eastAsia="仿宋_GB2312" w:cs="Times New Roman"/>
          <w:b w:val="0"/>
          <w:bCs w:val="0"/>
          <w:sz w:val="32"/>
          <w:szCs w:val="32"/>
          <w:highlight w:val="none"/>
          <w:u w:val="none"/>
          <w:lang w:val="en-US" w:eastAsia="zh-CN" w:bidi="zh-CN"/>
        </w:rPr>
        <w:t>全面服务首都干部教师提升政治素养、涵养师德师风、提高教书育人能力。</w:t>
      </w:r>
    </w:p>
    <w:p w14:paraId="505917B2">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教育党校龙头作用更加凸显</w:t>
      </w:r>
      <w:r>
        <w:rPr>
          <w:rFonts w:hint="eastAsia" w:ascii="Times New Roman" w:hAnsi="Times New Roman" w:eastAsia="楷体_GB2312" w:cs="Times New Roman"/>
          <w:b/>
          <w:bCs/>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深化“院校一体 融合发展”格局，</w:t>
      </w:r>
      <w:r>
        <w:rPr>
          <w:rFonts w:hint="default" w:ascii="Times New Roman" w:hAnsi="Times New Roman" w:eastAsia="仿宋_GB2312" w:cs="仿宋_GB2312"/>
          <w:color w:val="auto"/>
          <w:sz w:val="32"/>
          <w:szCs w:val="32"/>
          <w:u w:val="none"/>
          <w:shd w:val="clear" w:color="auto" w:fill="FFFFFF"/>
          <w:lang w:val="en-US" w:eastAsia="zh-CN"/>
        </w:rPr>
        <w:t>优化机构设置，</w:t>
      </w:r>
      <w:r>
        <w:rPr>
          <w:rFonts w:hint="default" w:ascii="Times New Roman" w:hAnsi="Times New Roman" w:eastAsia="仿宋_GB2312" w:cs="Times New Roman"/>
          <w:b w:val="0"/>
          <w:bCs w:val="0"/>
          <w:color w:val="auto"/>
          <w:sz w:val="32"/>
          <w:szCs w:val="32"/>
          <w:highlight w:val="none"/>
          <w:u w:val="none"/>
        </w:rPr>
        <w:t>加强</w:t>
      </w:r>
      <w:r>
        <w:rPr>
          <w:rFonts w:hint="default" w:ascii="Times New Roman" w:hAnsi="Times New Roman" w:eastAsia="仿宋_GB2312" w:cs="Times New Roman"/>
          <w:b w:val="0"/>
          <w:bCs w:val="0"/>
          <w:color w:val="auto"/>
          <w:sz w:val="32"/>
          <w:szCs w:val="32"/>
          <w:highlight w:val="none"/>
          <w:u w:val="none"/>
          <w:lang w:val="en-US" w:eastAsia="zh-CN"/>
        </w:rPr>
        <w:t>对教育党校内涵建设与事业发展的</w:t>
      </w:r>
      <w:r>
        <w:rPr>
          <w:rFonts w:hint="default" w:ascii="Times New Roman" w:hAnsi="Times New Roman" w:eastAsia="仿宋_GB2312" w:cs="Times New Roman"/>
          <w:b w:val="0"/>
          <w:bCs w:val="0"/>
          <w:color w:val="auto"/>
          <w:sz w:val="32"/>
          <w:szCs w:val="32"/>
          <w:highlight w:val="none"/>
          <w:u w:val="none"/>
        </w:rPr>
        <w:t>统筹</w:t>
      </w:r>
      <w:r>
        <w:rPr>
          <w:rFonts w:hint="default"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val="en-US" w:eastAsia="zh-CN"/>
        </w:rPr>
        <w:t>坚持为党育才，</w:t>
      </w:r>
      <w:r>
        <w:rPr>
          <w:rFonts w:hint="default" w:ascii="Times New Roman" w:hAnsi="Times New Roman" w:eastAsia="仿宋_GB2312" w:cs="Times New Roman"/>
          <w:b w:val="0"/>
          <w:bCs w:val="0"/>
          <w:color w:val="auto"/>
          <w:sz w:val="32"/>
          <w:szCs w:val="32"/>
          <w:highlight w:val="none"/>
          <w:u w:val="none"/>
          <w:lang w:eastAsia="zh-CN"/>
        </w:rPr>
        <w:t>举办干部培训约270项，累计培训</w:t>
      </w:r>
      <w:r>
        <w:rPr>
          <w:rFonts w:hint="eastAsia" w:ascii="Times New Roman" w:hAnsi="Times New Roman" w:eastAsia="仿宋_GB2312" w:cs="Times New Roman"/>
          <w:b w:val="0"/>
          <w:bCs w:val="0"/>
          <w:color w:val="auto"/>
          <w:sz w:val="32"/>
          <w:szCs w:val="32"/>
          <w:highlight w:val="none"/>
          <w:u w:val="none"/>
          <w:lang w:val="en-US" w:eastAsia="zh-CN"/>
        </w:rPr>
        <w:t>学员超</w:t>
      </w:r>
      <w:r>
        <w:rPr>
          <w:rFonts w:hint="default" w:ascii="Times New Roman" w:hAnsi="Times New Roman" w:eastAsia="仿宋_GB2312" w:cs="Times New Roman"/>
          <w:b w:val="0"/>
          <w:bCs w:val="0"/>
          <w:color w:val="auto"/>
          <w:sz w:val="32"/>
          <w:szCs w:val="32"/>
          <w:highlight w:val="none"/>
          <w:u w:val="none"/>
          <w:lang w:eastAsia="zh-CN"/>
        </w:rPr>
        <w:t>3.8万人次</w:t>
      </w:r>
      <w:r>
        <w:rPr>
          <w:rFonts w:hint="eastAsia"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val="en-US" w:eastAsia="zh-CN"/>
        </w:rPr>
        <w:t>研制发布</w:t>
      </w:r>
      <w:r>
        <w:rPr>
          <w:rFonts w:hint="eastAsia" w:ascii="Times New Roman" w:hAnsi="Times New Roman" w:eastAsia="仿宋_GB2312" w:cs="Times New Roman"/>
          <w:color w:val="auto"/>
          <w:sz w:val="32"/>
          <w:szCs w:val="32"/>
          <w:u w:val="none"/>
          <w:lang w:val="en-US" w:eastAsia="zh-CN"/>
        </w:rPr>
        <w:t>《北京教育党校基本培训工作方案》，逐步构建起特色鲜明的教育党校基本培训体系。坚持为党献策，围绕基础教育党的建设、中小学校领导体制改革等开展深入研究，立项党建类课题61项（省部级29项），管理指导全市基础教育党建研究课题328项，评选优秀成果963篇，有力彰显教育党校在新时代基础教育治理中的智库功能。</w:t>
      </w:r>
    </w:p>
    <w:p w14:paraId="480EA788">
      <w:pPr>
        <w:keepNext w:val="0"/>
        <w:keepLines w:val="0"/>
        <w:pageBreakBefore w:val="0"/>
        <w:widowControl w:val="0"/>
        <w:kinsoku/>
        <w:wordWrap/>
        <w:overflowPunct w:val="0"/>
        <w:topLinePunct w:val="0"/>
        <w:autoSpaceDE/>
        <w:autoSpaceDN/>
        <w:bidi w:val="0"/>
        <w:spacing w:beforeAutospacing="0" w:afterAutospacing="0" w:line="600" w:lineRule="exact"/>
        <w:ind w:leftChars="0" w:firstLine="643"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eastAsia" w:ascii="仿宋_GB2312" w:hAnsi="仿宋_GB2312" w:eastAsia="仿宋_GB2312" w:cs="仿宋_GB2312"/>
          <w:b/>
          <w:bCs/>
          <w:sz w:val="32"/>
          <w:szCs w:val="32"/>
          <w:u w:val="none"/>
          <w:lang w:val="en-US" w:eastAsia="zh-CN"/>
        </w:rPr>
        <w:t>“大思政”育人格局初步形成。</w:t>
      </w:r>
      <w:r>
        <w:rPr>
          <w:rFonts w:hint="default" w:ascii="Times New Roman" w:hAnsi="Times New Roman" w:eastAsia="仿宋_GB2312" w:cs="Times New Roman"/>
          <w:b w:val="0"/>
          <w:bCs w:val="0"/>
          <w:color w:val="auto"/>
          <w:sz w:val="32"/>
          <w:szCs w:val="32"/>
          <w:highlight w:val="none"/>
          <w:u w:val="none"/>
        </w:rPr>
        <w:t>成立思想政治教育与德育学院、首都基础教育首家</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三进</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研究中心，揭牌马克思主义学院。</w:t>
      </w:r>
      <w:r>
        <w:rPr>
          <w:rFonts w:hint="eastAsia" w:ascii="Times New Roman" w:hAnsi="Times New Roman" w:eastAsia="仿宋_GB2312" w:cs="Times New Roman"/>
          <w:b w:val="0"/>
          <w:bCs w:val="0"/>
          <w:color w:val="auto"/>
          <w:sz w:val="32"/>
          <w:szCs w:val="32"/>
          <w:highlight w:val="none"/>
          <w:u w:val="none"/>
          <w:lang w:val="en-US" w:eastAsia="zh-CN"/>
        </w:rPr>
        <w:t>制</w:t>
      </w:r>
      <w:r>
        <w:rPr>
          <w:rFonts w:hint="eastAsia" w:ascii="仿宋_GB2312" w:hAnsi="仿宋_GB2312" w:eastAsia="仿宋_GB2312" w:cs="仿宋_GB2312"/>
          <w:b w:val="0"/>
          <w:bCs w:val="0"/>
          <w:sz w:val="32"/>
          <w:szCs w:val="32"/>
          <w:u w:val="none"/>
          <w:lang w:val="zh-CN" w:eastAsia="zh-CN" w:bidi="zh-CN"/>
        </w:rPr>
        <w:t>定实施《全面加强学员思想政治教育工作</w:t>
      </w:r>
      <w:r>
        <w:rPr>
          <w:rFonts w:hint="eastAsia" w:ascii="仿宋_GB2312" w:hAnsi="仿宋_GB2312" w:eastAsia="仿宋_GB2312" w:cs="仿宋_GB2312"/>
          <w:b w:val="0"/>
          <w:bCs w:val="0"/>
          <w:sz w:val="32"/>
          <w:szCs w:val="32"/>
          <w:u w:val="none"/>
          <w:lang w:val="en-US" w:eastAsia="zh-CN" w:bidi="zh-CN"/>
        </w:rPr>
        <w:t>的意见</w:t>
      </w:r>
      <w:r>
        <w:rPr>
          <w:rFonts w:hint="eastAsia" w:ascii="仿宋_GB2312" w:hAnsi="仿宋_GB2312" w:eastAsia="仿宋_GB2312" w:cs="仿宋_GB2312"/>
          <w:b w:val="0"/>
          <w:bCs w:val="0"/>
          <w:sz w:val="32"/>
          <w:szCs w:val="32"/>
          <w:u w:val="none"/>
          <w:lang w:val="zh-CN" w:eastAsia="zh-CN" w:bidi="zh-CN"/>
        </w:rPr>
        <w:t>》《</w:t>
      </w:r>
      <w:r>
        <w:rPr>
          <w:rFonts w:hint="eastAsia" w:ascii="仿宋_GB2312" w:hAnsi="仿宋_GB2312" w:eastAsia="仿宋_GB2312" w:cs="仿宋_GB2312"/>
          <w:sz w:val="32"/>
          <w:szCs w:val="32"/>
          <w:u w:val="none"/>
          <w:lang w:val="zh-CN" w:bidi="zh-CN"/>
        </w:rPr>
        <w:t>全面推进“大思政课”建设实施方案</w:t>
      </w:r>
      <w:r>
        <w:rPr>
          <w:rFonts w:hint="eastAsia" w:ascii="仿宋_GB2312" w:hAnsi="仿宋_GB2312" w:eastAsia="仿宋_GB2312" w:cs="仿宋_GB2312"/>
          <w:b w:val="0"/>
          <w:bCs w:val="0"/>
          <w:sz w:val="32"/>
          <w:szCs w:val="32"/>
          <w:u w:val="none"/>
          <w:lang w:val="zh-CN" w:eastAsia="zh-CN" w:bidi="zh-CN"/>
        </w:rPr>
        <w:t>》，推进思政课程与课程思政</w:t>
      </w:r>
      <w:r>
        <w:rPr>
          <w:rFonts w:hint="eastAsia" w:ascii="仿宋_GB2312" w:hAnsi="仿宋_GB2312" w:eastAsia="仿宋_GB2312" w:cs="仿宋_GB2312"/>
          <w:b w:val="0"/>
          <w:bCs w:val="0"/>
          <w:sz w:val="32"/>
          <w:szCs w:val="32"/>
          <w:highlight w:val="none"/>
          <w:u w:val="none"/>
          <w:lang w:val="en-US" w:eastAsia="zh-CN" w:bidi="zh-CN"/>
        </w:rPr>
        <w:t>同向同行</w:t>
      </w:r>
      <w:r>
        <w:rPr>
          <w:rFonts w:hint="eastAsia" w:ascii="仿宋_GB2312" w:hAnsi="仿宋_GB2312" w:eastAsia="仿宋_GB2312" w:cs="仿宋_GB2312"/>
          <w:b w:val="0"/>
          <w:bCs w:val="0"/>
          <w:sz w:val="32"/>
          <w:szCs w:val="32"/>
          <w:u w:val="none"/>
          <w:lang w:val="zh-CN" w:eastAsia="zh-CN" w:bidi="zh-CN"/>
        </w:rPr>
        <w:t>。</w:t>
      </w:r>
      <w:r>
        <w:rPr>
          <w:rFonts w:hint="eastAsia" w:ascii="仿宋_GB2312" w:hAnsi="仿宋_GB2312" w:eastAsia="仿宋_GB2312" w:cs="仿宋_GB2312"/>
          <w:b w:val="0"/>
          <w:bCs w:val="0"/>
          <w:sz w:val="32"/>
          <w:szCs w:val="32"/>
          <w:u w:val="none"/>
          <w:lang w:val="en-US" w:eastAsia="zh-CN" w:bidi="zh-CN"/>
        </w:rPr>
        <w:t>加强课程建设，研发</w:t>
      </w:r>
      <w:r>
        <w:rPr>
          <w:rFonts w:hint="default" w:ascii="Times New Roman" w:hAnsi="Times New Roman" w:eastAsia="仿宋_GB2312" w:cs="Times New Roman"/>
          <w:b w:val="0"/>
          <w:bCs w:val="0"/>
          <w:sz w:val="32"/>
          <w:szCs w:val="32"/>
          <w:u w:val="none"/>
          <w:lang w:val="en-US" w:eastAsia="zh-CN" w:bidi="zh-CN"/>
        </w:rPr>
        <w:t>16</w:t>
      </w:r>
      <w:r>
        <w:rPr>
          <w:rFonts w:hint="eastAsia" w:ascii="仿宋_GB2312" w:hAnsi="仿宋_GB2312" w:eastAsia="仿宋_GB2312" w:cs="仿宋_GB2312"/>
          <w:b w:val="0"/>
          <w:bCs w:val="0"/>
          <w:sz w:val="32"/>
          <w:szCs w:val="32"/>
          <w:u w:val="none"/>
          <w:lang w:val="en-US" w:eastAsia="zh-CN" w:bidi="zh-CN"/>
        </w:rPr>
        <w:t>门“思想政治素质与师德修养”主题公共必修课程，相关课程和教师获评教育部“课程思政示范课程”“课程思政教学名师和团队”，</w:t>
      </w:r>
      <w:r>
        <w:rPr>
          <w:rFonts w:hint="default" w:ascii="Times New Roman" w:hAnsi="Times New Roman" w:eastAsia="仿宋_GB2312" w:cs="Times New Roman"/>
          <w:b w:val="0"/>
          <w:bCs w:val="0"/>
          <w:sz w:val="32"/>
          <w:szCs w:val="32"/>
          <w:u w:val="none"/>
          <w:lang w:val="en-US" w:eastAsia="zh-CN" w:bidi="zh-CN"/>
        </w:rPr>
        <w:t>1</w:t>
      </w:r>
      <w:r>
        <w:rPr>
          <w:rFonts w:hint="eastAsia" w:ascii="仿宋_GB2312" w:hAnsi="仿宋_GB2312" w:eastAsia="仿宋_GB2312" w:cs="仿宋_GB2312"/>
          <w:b w:val="0"/>
          <w:bCs w:val="0"/>
          <w:sz w:val="32"/>
          <w:szCs w:val="32"/>
          <w:u w:val="none"/>
          <w:lang w:val="en-US" w:eastAsia="zh-CN" w:bidi="zh-CN"/>
        </w:rPr>
        <w:t>名教师获</w:t>
      </w:r>
      <w:r>
        <w:rPr>
          <w:rFonts w:hint="default" w:ascii="Times New Roman" w:hAnsi="Times New Roman" w:eastAsia="仿宋_GB2312" w:cs="Times New Roman"/>
          <w:spacing w:val="-6"/>
          <w:sz w:val="32"/>
          <w:szCs w:val="32"/>
          <w:u w:val="none"/>
          <w:lang w:val="en-US" w:eastAsia="zh-CN"/>
        </w:rPr>
        <w:t>第十六</w:t>
      </w:r>
      <w:r>
        <w:rPr>
          <w:rFonts w:hint="default" w:ascii="Times New Roman" w:hAnsi="Times New Roman" w:eastAsia="仿宋_GB2312" w:cs="Times New Roman"/>
          <w:sz w:val="32"/>
          <w:szCs w:val="32"/>
          <w:u w:val="none"/>
          <w:lang w:val="en-US" w:eastAsia="zh-CN"/>
        </w:rPr>
        <w:t>届北京市优秀思想政治工作者称号。</w:t>
      </w:r>
      <w:r>
        <w:rPr>
          <w:rFonts w:hint="eastAsia" w:ascii="Times New Roman" w:hAnsi="Times New Roman" w:eastAsia="仿宋_GB2312" w:cs="Times New Roman"/>
          <w:sz w:val="32"/>
          <w:szCs w:val="32"/>
          <w:highlight w:val="none"/>
          <w:u w:val="none"/>
          <w:lang w:val="en-US" w:eastAsia="zh-CN"/>
        </w:rPr>
        <w:t>与</w:t>
      </w:r>
      <w:r>
        <w:rPr>
          <w:rFonts w:hint="default" w:ascii="Times New Roman" w:hAnsi="Times New Roman" w:eastAsia="仿宋_GB2312" w:cs="Times New Roman"/>
          <w:sz w:val="32"/>
          <w:szCs w:val="32"/>
          <w:u w:val="none"/>
          <w:lang w:val="en-US" w:eastAsia="zh-CN"/>
        </w:rPr>
        <w:t>故宫博物院</w:t>
      </w:r>
      <w:r>
        <w:rPr>
          <w:rFonts w:hint="eastAsia" w:ascii="Times New Roman" w:hAnsi="Times New Roman" w:eastAsia="仿宋_GB2312" w:cs="Times New Roman"/>
          <w:sz w:val="32"/>
          <w:szCs w:val="32"/>
          <w:highlight w:val="none"/>
          <w:u w:val="none"/>
          <w:lang w:val="en-US" w:eastAsia="zh-CN"/>
        </w:rPr>
        <w:t>合作建立</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大思政课</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实践育人基地，举办习近平新时代中国特色社会主义思想</w:t>
      </w:r>
      <w:r>
        <w:rPr>
          <w:rFonts w:hint="eastAsia" w:ascii="Times New Roman" w:hAnsi="Times New Roman" w:eastAsia="仿宋_GB2312" w:cs="Times New Roman"/>
          <w:sz w:val="32"/>
          <w:szCs w:val="32"/>
          <w:u w:val="none"/>
          <w:lang w:val="en-US" w:eastAsia="zh-CN"/>
        </w:rPr>
        <w:t>“三进”</w:t>
      </w:r>
      <w:r>
        <w:rPr>
          <w:rFonts w:hint="default" w:ascii="Times New Roman" w:hAnsi="Times New Roman" w:eastAsia="仿宋_GB2312" w:cs="Times New Roman"/>
          <w:sz w:val="32"/>
          <w:szCs w:val="32"/>
          <w:u w:val="none"/>
          <w:lang w:val="en-US" w:eastAsia="zh-CN"/>
        </w:rPr>
        <w:t>工作交流会、大中小学思政教育一体化建设研讨会等系列活动</w:t>
      </w:r>
      <w:r>
        <w:rPr>
          <w:rFonts w:hint="eastAsia" w:ascii="Times New Roman" w:hAnsi="Times New Roman" w:eastAsia="仿宋_GB2312" w:cs="Times New Roman"/>
          <w:b w:val="0"/>
          <w:bCs w:val="0"/>
          <w:color w:val="auto"/>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none"/>
          <w:lang w:val="en-US" w:eastAsia="zh-CN"/>
        </w:rPr>
        <w:t>探索“新域新质”背景下劳动教育融入“大思政课”建设发展路径，连续举办四届“北京市中小学劳动教育研讨会”。</w:t>
      </w:r>
    </w:p>
    <w:p w14:paraId="4813D7BE">
      <w:pPr>
        <w:keepNext w:val="0"/>
        <w:keepLines w:val="0"/>
        <w:pageBreakBefore w:val="0"/>
        <w:widowControl w:val="0"/>
        <w:kinsoku/>
        <w:wordWrap/>
        <w:overflowPunct w:val="0"/>
        <w:topLinePunct w:val="0"/>
        <w:autoSpaceDE/>
        <w:autoSpaceDN/>
        <w:bidi w:val="0"/>
        <w:spacing w:beforeAutospacing="0" w:afterAutospacing="0" w:line="600" w:lineRule="exact"/>
        <w:ind w:leftChars="0"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服务教育综合改革贡献突出。</w:t>
      </w:r>
      <w:r>
        <w:rPr>
          <w:rFonts w:hint="eastAsia" w:ascii="Times New Roman" w:hAnsi="Times New Roman" w:eastAsia="仿宋_GB2312" w:cs="Times New Roman"/>
          <w:b w:val="0"/>
          <w:bCs w:val="0"/>
          <w:sz w:val="32"/>
          <w:szCs w:val="32"/>
          <w:u w:val="none"/>
          <w:lang w:val="en-US" w:eastAsia="zh-CN" w:bidi="zh-CN"/>
        </w:rPr>
        <w:t>主动对接国家“双减”重大决策部署，</w:t>
      </w:r>
      <w:r>
        <w:rPr>
          <w:rFonts w:hint="eastAsia" w:ascii="Times New Roman" w:hAnsi="Times New Roman" w:eastAsia="仿宋_GB2312" w:cs="Times New Roman"/>
          <w:color w:val="000000"/>
          <w:sz w:val="32"/>
          <w:szCs w:val="32"/>
          <w:u w:val="none"/>
          <w:lang w:val="en-US" w:eastAsia="zh-CN"/>
        </w:rPr>
        <w:t>举办</w:t>
      </w:r>
      <w:r>
        <w:rPr>
          <w:rFonts w:hint="eastAsia" w:ascii="Times New Roman" w:hAnsi="Times New Roman" w:eastAsia="仿宋_GB2312" w:cs="Times New Roman"/>
          <w:b w:val="0"/>
          <w:bCs w:val="0"/>
          <w:sz w:val="32"/>
          <w:szCs w:val="32"/>
          <w:u w:val="none"/>
          <w:lang w:val="en-US" w:eastAsia="zh-CN" w:bidi="zh-CN"/>
        </w:rPr>
        <w:t>14场专题报告、</w:t>
      </w:r>
      <w:r>
        <w:rPr>
          <w:rFonts w:hint="eastAsia" w:ascii="Times New Roman" w:hAnsi="Times New Roman" w:eastAsia="仿宋_GB2312" w:cs="Times New Roman"/>
          <w:color w:val="000000"/>
          <w:sz w:val="32"/>
          <w:szCs w:val="32"/>
          <w:u w:val="none"/>
        </w:rPr>
        <w:t>“双减”专题研讨班</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开设73个“双减”主题培训项目</w:t>
      </w:r>
      <w:r>
        <w:rPr>
          <w:rFonts w:hint="eastAsia" w:ascii="Times New Roman" w:hAnsi="Times New Roman" w:eastAsia="仿宋_GB2312" w:cs="Times New Roman"/>
          <w:color w:val="000000"/>
          <w:sz w:val="32"/>
          <w:szCs w:val="32"/>
          <w:u w:val="none"/>
          <w:lang w:eastAsia="zh-CN"/>
        </w:rPr>
        <w:t>，</w:t>
      </w:r>
      <w:r>
        <w:rPr>
          <w:rFonts w:hint="eastAsia" w:ascii="Times New Roman" w:hAnsi="Times New Roman" w:eastAsia="仿宋_GB2312" w:cs="Times New Roman"/>
          <w:color w:val="000000"/>
          <w:sz w:val="32"/>
          <w:szCs w:val="32"/>
          <w:u w:val="none"/>
        </w:rPr>
        <w:t>出版《“双减”政策下的教师担当与北京行动》</w:t>
      </w:r>
      <w:r>
        <w:rPr>
          <w:rFonts w:hint="eastAsia" w:ascii="Times New Roman" w:hAnsi="Times New Roman" w:eastAsia="仿宋_GB2312" w:cs="Times New Roman"/>
          <w:color w:val="000000"/>
          <w:sz w:val="32"/>
          <w:szCs w:val="32"/>
          <w:u w:val="none"/>
          <w:lang w:eastAsia="zh-CN"/>
        </w:rPr>
        <w:t>，</w:t>
      </w:r>
      <w:r>
        <w:rPr>
          <w:rFonts w:hint="eastAsia" w:ascii="仿宋_GB2312" w:hAnsi="仿宋_GB2312" w:eastAsia="仿宋_GB2312" w:cs="仿宋_GB2312"/>
          <w:b w:val="0"/>
          <w:bCs w:val="0"/>
          <w:sz w:val="32"/>
          <w:szCs w:val="32"/>
          <w:highlight w:val="none"/>
          <w:u w:val="none"/>
          <w:lang w:val="zh-CN" w:eastAsia="zh-CN" w:bidi="zh-CN"/>
        </w:rPr>
        <w:t>为一线</w:t>
      </w:r>
      <w:r>
        <w:rPr>
          <w:rFonts w:hint="eastAsia" w:ascii="仿宋_GB2312" w:hAnsi="仿宋_GB2312" w:eastAsia="仿宋_GB2312" w:cs="仿宋_GB2312"/>
          <w:b w:val="0"/>
          <w:bCs w:val="0"/>
          <w:sz w:val="32"/>
          <w:szCs w:val="32"/>
          <w:highlight w:val="none"/>
          <w:u w:val="none"/>
          <w:lang w:val="en-US" w:eastAsia="zh-CN" w:bidi="zh-CN"/>
        </w:rPr>
        <w:t>中小学教育</w:t>
      </w:r>
      <w:r>
        <w:rPr>
          <w:rFonts w:hint="eastAsia" w:ascii="仿宋_GB2312" w:hAnsi="仿宋_GB2312" w:eastAsia="仿宋_GB2312" w:cs="仿宋_GB2312"/>
          <w:b w:val="0"/>
          <w:bCs w:val="0"/>
          <w:sz w:val="32"/>
          <w:szCs w:val="32"/>
          <w:highlight w:val="none"/>
          <w:u w:val="none"/>
          <w:lang w:val="zh-CN" w:eastAsia="zh-CN" w:bidi="zh-CN"/>
        </w:rPr>
        <w:t>实践提供</w:t>
      </w:r>
      <w:r>
        <w:rPr>
          <w:rFonts w:hint="eastAsia" w:ascii="仿宋_GB2312" w:hAnsi="仿宋_GB2312" w:eastAsia="仿宋_GB2312" w:cs="仿宋_GB2312"/>
          <w:b w:val="0"/>
          <w:bCs w:val="0"/>
          <w:sz w:val="32"/>
          <w:szCs w:val="32"/>
          <w:highlight w:val="none"/>
          <w:u w:val="none"/>
          <w:lang w:val="en-US" w:eastAsia="zh-CN" w:bidi="zh-CN"/>
        </w:rPr>
        <w:t>专业</w:t>
      </w:r>
      <w:r>
        <w:rPr>
          <w:rFonts w:hint="eastAsia" w:ascii="仿宋_GB2312" w:hAnsi="仿宋_GB2312" w:eastAsia="仿宋_GB2312" w:cs="仿宋_GB2312"/>
          <w:b w:val="0"/>
          <w:bCs w:val="0"/>
          <w:sz w:val="32"/>
          <w:szCs w:val="32"/>
          <w:highlight w:val="none"/>
          <w:u w:val="none"/>
          <w:lang w:val="zh-CN" w:eastAsia="zh-CN" w:bidi="zh-CN"/>
        </w:rPr>
        <w:t>支持。</w:t>
      </w:r>
      <w:r>
        <w:rPr>
          <w:rFonts w:hint="eastAsia" w:ascii="Times New Roman" w:hAnsi="Times New Roman" w:eastAsia="仿宋_GB2312" w:cs="Times New Roman"/>
          <w:color w:val="000000"/>
          <w:sz w:val="32"/>
          <w:szCs w:val="32"/>
          <w:u w:val="none"/>
          <w:lang w:val="en-US" w:eastAsia="zh-CN"/>
        </w:rPr>
        <w:t>积极参与全市基础教育</w:t>
      </w:r>
      <w:r>
        <w:rPr>
          <w:rFonts w:hint="eastAsia" w:ascii="仿宋_GB2312" w:hAnsi="仿宋_GB2312" w:eastAsia="仿宋_GB2312" w:cs="仿宋_GB2312"/>
          <w:b w:val="0"/>
          <w:bCs w:val="0"/>
          <w:sz w:val="32"/>
          <w:szCs w:val="32"/>
          <w:highlight w:val="none"/>
          <w:u w:val="none"/>
          <w:lang w:val="en-US" w:eastAsia="zh-CN" w:bidi="zh-CN"/>
        </w:rPr>
        <w:t>综合改革</w:t>
      </w:r>
      <w:r>
        <w:rPr>
          <w:rFonts w:hint="eastAsia" w:ascii="仿宋_GB2312" w:hAnsi="仿宋_GB2312" w:eastAsia="仿宋_GB2312" w:cs="仿宋_GB2312"/>
          <w:b w:val="0"/>
          <w:bCs w:val="0"/>
          <w:sz w:val="32"/>
          <w:szCs w:val="32"/>
          <w:u w:val="none"/>
          <w:lang w:val="en-US" w:eastAsia="zh-CN"/>
        </w:rPr>
        <w:t>“三大战役”（暑期实训、质量月、评价月）和</w:t>
      </w:r>
      <w:r>
        <w:rPr>
          <w:rFonts w:hint="default" w:ascii="Times New Roman" w:hAnsi="Times New Roman" w:eastAsia="仿宋_GB2312" w:cs="Times New Roman"/>
          <w:b w:val="0"/>
          <w:bCs w:val="0"/>
          <w:sz w:val="32"/>
          <w:szCs w:val="32"/>
          <w:u w:val="none"/>
          <w:lang w:val="en-US" w:eastAsia="zh-CN"/>
        </w:rPr>
        <w:t>中考改革质量月大调研，完成2</w:t>
      </w:r>
      <w:r>
        <w:rPr>
          <w:rFonts w:hint="eastAsia" w:ascii="仿宋_GB2312" w:hAnsi="仿宋_GB2312" w:eastAsia="仿宋_GB2312" w:cs="仿宋_GB2312"/>
          <w:b w:val="0"/>
          <w:bCs w:val="0"/>
          <w:sz w:val="32"/>
          <w:szCs w:val="32"/>
          <w:u w:val="none"/>
          <w:lang w:val="en-US" w:eastAsia="zh-CN"/>
        </w:rPr>
        <w:t>万余名体育美育教师调研分析，为市教育两委决策提供参考。持续推进新课标、新教材、新课程落地实施，连续举办</w:t>
      </w:r>
      <w:r>
        <w:rPr>
          <w:rFonts w:hint="eastAsia" w:ascii="仿宋_GB2312" w:hAnsi="仿宋_GB2312" w:eastAsia="仿宋_GB2312" w:cs="仿宋_GB2312"/>
          <w:b w:val="0"/>
          <w:bCs w:val="0"/>
          <w:sz w:val="32"/>
          <w:szCs w:val="32"/>
          <w:highlight w:val="none"/>
          <w:u w:val="none"/>
          <w:lang w:val="en-US" w:eastAsia="zh-CN"/>
        </w:rPr>
        <w:t>三期</w:t>
      </w:r>
      <w:r>
        <w:rPr>
          <w:rFonts w:hint="eastAsia" w:ascii="仿宋_GB2312" w:hAnsi="仿宋_GB2312" w:eastAsia="仿宋_GB2312" w:cs="仿宋_GB2312"/>
          <w:b w:val="0"/>
          <w:bCs w:val="0"/>
          <w:sz w:val="32"/>
          <w:szCs w:val="32"/>
          <w:u w:val="none"/>
          <w:lang w:val="en-US" w:eastAsia="zh-CN"/>
        </w:rPr>
        <w:t>新教材市级专题培训及新教材单元教学实训活动。聚焦评价改革，举办两期全市骨干教师考试评价能力提升培训班，推动“教考招评训一体化”发展。积极推进“五育融合”，全面落实“体育八条”要求，</w:t>
      </w:r>
      <w:r>
        <w:rPr>
          <w:rFonts w:hint="eastAsia" w:ascii="仿宋_GB2312" w:hAnsi="仿宋_GB2312" w:eastAsia="仿宋_GB2312" w:cs="仿宋_GB2312"/>
          <w:b w:val="0"/>
          <w:bCs w:val="0"/>
          <w:sz w:val="32"/>
          <w:szCs w:val="32"/>
          <w:highlight w:val="none"/>
          <w:u w:val="none"/>
          <w:lang w:val="zh-CN" w:eastAsia="zh-CN" w:bidi="zh-CN"/>
        </w:rPr>
        <w:t>开发</w:t>
      </w:r>
      <w:r>
        <w:rPr>
          <w:rFonts w:hint="eastAsia" w:ascii="仿宋_GB2312" w:hAnsi="仿宋_GB2312" w:eastAsia="仿宋_GB2312" w:cs="仿宋_GB2312"/>
          <w:b w:val="0"/>
          <w:bCs w:val="0"/>
          <w:sz w:val="32"/>
          <w:szCs w:val="32"/>
          <w:highlight w:val="none"/>
          <w:u w:val="none"/>
          <w:lang w:val="en-US" w:eastAsia="zh-CN" w:bidi="zh-CN"/>
        </w:rPr>
        <w:t>了</w:t>
      </w:r>
      <w:r>
        <w:rPr>
          <w:rFonts w:hint="eastAsia" w:ascii="仿宋_GB2312" w:hAnsi="仿宋_GB2312" w:eastAsia="仿宋_GB2312" w:cs="仿宋_GB2312"/>
          <w:b w:val="0"/>
          <w:bCs w:val="0"/>
          <w:sz w:val="32"/>
          <w:szCs w:val="32"/>
          <w:highlight w:val="none"/>
          <w:u w:val="none"/>
          <w:lang w:val="zh-CN" w:eastAsia="zh-CN" w:bidi="zh-CN"/>
        </w:rPr>
        <w:t>场景式育人课程资源</w:t>
      </w:r>
      <w:r>
        <w:rPr>
          <w:rFonts w:hint="eastAsia" w:ascii="仿宋_GB2312" w:hAnsi="仿宋_GB2312" w:eastAsia="仿宋_GB2312" w:cs="仿宋_GB2312"/>
          <w:b w:val="0"/>
          <w:bCs w:val="0"/>
          <w:sz w:val="32"/>
          <w:szCs w:val="32"/>
          <w:u w:val="none"/>
          <w:lang w:val="en-US" w:eastAsia="zh-CN"/>
        </w:rPr>
        <w:t>，发布《体育强心手册：场景育人促进心理健康</w:t>
      </w:r>
      <w:r>
        <w:rPr>
          <w:rFonts w:hint="default" w:ascii="Times New Roman" w:hAnsi="Times New Roman" w:eastAsia="仿宋_GB2312" w:cs="Times New Roman"/>
          <w:b w:val="0"/>
          <w:bCs w:val="0"/>
          <w:sz w:val="32"/>
          <w:szCs w:val="32"/>
          <w:u w:val="none"/>
          <w:lang w:val="en-US" w:eastAsia="zh-CN"/>
        </w:rPr>
        <w:t>155</w:t>
      </w:r>
      <w:r>
        <w:rPr>
          <w:rFonts w:hint="eastAsia" w:ascii="仿宋_GB2312" w:hAnsi="仿宋_GB2312" w:eastAsia="仿宋_GB2312" w:cs="仿宋_GB2312"/>
          <w:b w:val="0"/>
          <w:bCs w:val="0"/>
          <w:sz w:val="32"/>
          <w:szCs w:val="32"/>
          <w:u w:val="none"/>
          <w:lang w:val="en-US" w:eastAsia="zh-CN"/>
        </w:rPr>
        <w:t>例》，开展“课间一刻钟”示范性市级培训，打造北京中小学体育场景育人单元教学新模式。深入实施美育浸润行动，通过美育工作坊与系列专题研修，积极探索五育融合理念下美育实践的创新路径。</w:t>
      </w:r>
      <w:r>
        <w:rPr>
          <w:rFonts w:hint="eastAsia" w:ascii="仿宋_GB2312" w:hAnsi="仿宋_GB2312" w:eastAsia="仿宋_GB2312" w:cs="仿宋_GB2312"/>
          <w:b w:val="0"/>
          <w:bCs w:val="0"/>
          <w:sz w:val="32"/>
          <w:szCs w:val="32"/>
          <w:highlight w:val="none"/>
          <w:u w:val="none"/>
          <w:lang w:val="zh-CN" w:eastAsia="zh-CN" w:bidi="zh-CN"/>
        </w:rPr>
        <w:t>积极探索科学教育加法，推进“科学教育和</w:t>
      </w:r>
      <w:r>
        <w:rPr>
          <w:rFonts w:hint="default" w:ascii="Times New Roman" w:hAnsi="Times New Roman" w:eastAsia="仿宋_GB2312" w:cs="Times New Roman"/>
          <w:b w:val="0"/>
          <w:bCs w:val="0"/>
          <w:sz w:val="32"/>
          <w:szCs w:val="32"/>
          <w:highlight w:val="none"/>
          <w:u w:val="none"/>
          <w:lang w:val="zh-CN" w:eastAsia="zh-CN" w:bidi="zh-CN"/>
        </w:rPr>
        <w:t>STEM</w:t>
      </w:r>
      <w:r>
        <w:rPr>
          <w:rFonts w:hint="eastAsia" w:ascii="仿宋_GB2312" w:hAnsi="仿宋_GB2312" w:eastAsia="仿宋_GB2312" w:cs="仿宋_GB2312"/>
          <w:b w:val="0"/>
          <w:bCs w:val="0"/>
          <w:sz w:val="32"/>
          <w:szCs w:val="32"/>
          <w:highlight w:val="none"/>
          <w:u w:val="none"/>
          <w:lang w:val="zh-CN" w:eastAsia="zh-CN" w:bidi="zh-CN"/>
        </w:rPr>
        <w:t>教育专项”任务。</w:t>
      </w:r>
      <w:r>
        <w:rPr>
          <w:rFonts w:hint="eastAsia" w:ascii="仿宋_GB2312" w:hAnsi="仿宋_GB2312" w:eastAsia="仿宋_GB2312" w:cs="仿宋_GB2312"/>
          <w:b w:val="0"/>
          <w:bCs w:val="0"/>
          <w:sz w:val="32"/>
          <w:szCs w:val="32"/>
          <w:highlight w:val="none"/>
          <w:u w:val="none"/>
          <w:lang w:val="en-US" w:eastAsia="zh-CN"/>
        </w:rPr>
        <w:t>开展中小学教师全员心理健康素养提升培训，完成落实“身心健康二十条”情况调研，持续做好北京市中小学师生在线心理咨询平台的服务保障工作，促进学校整体心理健康教育效能和质量的提升。</w:t>
      </w:r>
      <w:r>
        <w:rPr>
          <w:rFonts w:hint="eastAsia" w:ascii="仿宋_GB2312" w:hAnsi="仿宋_GB2312" w:eastAsia="仿宋_GB2312" w:cs="仿宋_GB2312"/>
          <w:b w:val="0"/>
          <w:bCs w:val="0"/>
          <w:sz w:val="32"/>
          <w:szCs w:val="32"/>
          <w:highlight w:val="none"/>
          <w:u w:val="none"/>
          <w:lang w:val="zh-CN" w:eastAsia="zh-CN" w:bidi="zh-CN"/>
        </w:rPr>
        <w:t>积极回应</w:t>
      </w:r>
      <w:r>
        <w:rPr>
          <w:rFonts w:hint="eastAsia" w:ascii="仿宋_GB2312" w:hAnsi="仿宋_GB2312" w:eastAsia="仿宋_GB2312" w:cs="仿宋_GB2312"/>
          <w:b w:val="0"/>
          <w:bCs w:val="0"/>
          <w:sz w:val="32"/>
          <w:szCs w:val="32"/>
          <w:highlight w:val="none"/>
          <w:u w:val="none"/>
          <w:lang w:val="en-US" w:eastAsia="zh-CN" w:bidi="zh-CN"/>
        </w:rPr>
        <w:t>市民的</w:t>
      </w:r>
      <w:r>
        <w:rPr>
          <w:rFonts w:hint="eastAsia" w:ascii="仿宋_GB2312" w:hAnsi="仿宋_GB2312" w:eastAsia="仿宋_GB2312" w:cs="仿宋_GB2312"/>
          <w:b w:val="0"/>
          <w:bCs w:val="0"/>
          <w:sz w:val="32"/>
          <w:szCs w:val="32"/>
          <w:highlight w:val="none"/>
          <w:u w:val="none"/>
          <w:lang w:val="zh-CN" w:eastAsia="zh-CN" w:bidi="zh-CN"/>
        </w:rPr>
        <w:t>民生关切，</w:t>
      </w:r>
      <w:r>
        <w:rPr>
          <w:rFonts w:hint="eastAsia" w:ascii="仿宋_GB2312" w:hAnsi="仿宋_GB2312" w:eastAsia="仿宋_GB2312" w:cs="仿宋_GB2312"/>
          <w:b w:val="0"/>
          <w:bCs w:val="0"/>
          <w:sz w:val="32"/>
          <w:szCs w:val="32"/>
          <w:u w:val="none"/>
          <w:lang w:val="en-US" w:eastAsia="zh-CN"/>
        </w:rPr>
        <w:t>助力学前教育托育延伸改革，成功举办</w:t>
      </w:r>
      <w:r>
        <w:rPr>
          <w:rFonts w:hint="eastAsia" w:ascii="仿宋_GB2312" w:hAnsi="仿宋_GB2312" w:eastAsia="仿宋_GB2312" w:cs="仿宋_GB2312"/>
          <w:b w:val="0"/>
          <w:bCs w:val="0"/>
          <w:sz w:val="32"/>
          <w:szCs w:val="32"/>
          <w:highlight w:val="none"/>
          <w:u w:val="none"/>
          <w:lang w:val="en-US" w:eastAsia="zh-CN"/>
        </w:rPr>
        <w:t>三期市级幼儿园托班教师培训，为托幼一体化发展提供有力队伍支撑</w:t>
      </w:r>
      <w:r>
        <w:rPr>
          <w:rFonts w:hint="eastAsia" w:ascii="仿宋_GB2312" w:hAnsi="仿宋_GB2312" w:eastAsia="仿宋_GB2312" w:cs="仿宋_GB2312"/>
          <w:b w:val="0"/>
          <w:bCs w:val="0"/>
          <w:sz w:val="32"/>
          <w:szCs w:val="32"/>
          <w:u w:val="none"/>
          <w:lang w:val="en-US" w:eastAsia="zh-CN"/>
        </w:rPr>
        <w:t>。</w:t>
      </w:r>
      <w:r>
        <w:rPr>
          <w:rFonts w:ascii="Calibri" w:hAnsi="Calibri" w:eastAsia="仿宋_GB2312" w:cs="Times New Roman"/>
          <w:color w:val="000000"/>
          <w:sz w:val="32"/>
          <w:szCs w:val="32"/>
          <w:u w:val="none"/>
        </w:rPr>
        <w:t>服务</w:t>
      </w:r>
      <w:r>
        <w:rPr>
          <w:rFonts w:hint="eastAsia" w:ascii="Calibri" w:hAnsi="Calibri" w:eastAsia="仿宋_GB2312" w:cs="Times New Roman"/>
          <w:color w:val="000000"/>
          <w:sz w:val="32"/>
          <w:szCs w:val="32"/>
          <w:u w:val="none"/>
          <w:lang w:eastAsia="zh-CN"/>
        </w:rPr>
        <w:t>“</w:t>
      </w:r>
      <w:r>
        <w:rPr>
          <w:rFonts w:ascii="Calibri" w:hAnsi="Calibri" w:eastAsia="仿宋_GB2312" w:cs="Times New Roman"/>
          <w:color w:val="000000"/>
          <w:sz w:val="32"/>
          <w:szCs w:val="32"/>
          <w:u w:val="none"/>
        </w:rPr>
        <w:t>双奥之城</w:t>
      </w:r>
      <w:r>
        <w:rPr>
          <w:rFonts w:hint="eastAsia" w:ascii="Calibri" w:hAnsi="Calibri" w:eastAsia="仿宋_GB2312" w:cs="Times New Roman"/>
          <w:color w:val="000000"/>
          <w:sz w:val="32"/>
          <w:szCs w:val="32"/>
          <w:u w:val="none"/>
          <w:lang w:eastAsia="zh-CN"/>
        </w:rPr>
        <w:t>”</w:t>
      </w:r>
      <w:r>
        <w:rPr>
          <w:rFonts w:ascii="Calibri" w:hAnsi="Calibri" w:eastAsia="仿宋_GB2312" w:cs="Times New Roman"/>
          <w:color w:val="000000"/>
          <w:sz w:val="32"/>
          <w:szCs w:val="32"/>
          <w:u w:val="none"/>
        </w:rPr>
        <w:t>建设，</w:t>
      </w:r>
      <w:r>
        <w:rPr>
          <w:rFonts w:hint="eastAsia" w:ascii="仿宋_GB2312" w:hAnsi="仿宋_GB2312" w:eastAsia="仿宋_GB2312" w:cs="仿宋_GB2312"/>
          <w:b w:val="0"/>
          <w:bCs w:val="0"/>
          <w:sz w:val="32"/>
          <w:szCs w:val="32"/>
          <w:highlight w:val="none"/>
          <w:u w:val="none"/>
          <w:lang w:val="zh-CN" w:eastAsia="zh-CN" w:bidi="zh-CN"/>
        </w:rPr>
        <w:t>推动奥林匹克</w:t>
      </w:r>
      <w:r>
        <w:rPr>
          <w:rFonts w:hint="eastAsia" w:ascii="仿宋_GB2312" w:hAnsi="仿宋_GB2312" w:eastAsia="仿宋_GB2312" w:cs="仿宋_GB2312"/>
          <w:b w:val="0"/>
          <w:bCs w:val="0"/>
          <w:sz w:val="32"/>
          <w:szCs w:val="32"/>
          <w:highlight w:val="none"/>
          <w:u w:val="none"/>
          <w:lang w:val="en-US" w:eastAsia="zh-CN" w:bidi="zh-CN"/>
        </w:rPr>
        <w:t>精神教育、</w:t>
      </w:r>
      <w:r>
        <w:rPr>
          <w:rFonts w:hint="eastAsia" w:ascii="仿宋_GB2312" w:hAnsi="仿宋_GB2312" w:eastAsia="仿宋_GB2312" w:cs="仿宋_GB2312"/>
          <w:b w:val="0"/>
          <w:bCs w:val="0"/>
          <w:sz w:val="32"/>
          <w:szCs w:val="32"/>
          <w:highlight w:val="none"/>
          <w:u w:val="none"/>
          <w:lang w:val="zh-CN" w:eastAsia="zh-CN" w:bidi="zh-CN"/>
        </w:rPr>
        <w:t>冰雪</w:t>
      </w:r>
      <w:r>
        <w:rPr>
          <w:rFonts w:hint="eastAsia" w:ascii="仿宋_GB2312" w:hAnsi="仿宋_GB2312" w:eastAsia="仿宋_GB2312" w:cs="仿宋_GB2312"/>
          <w:b w:val="0"/>
          <w:bCs w:val="0"/>
          <w:sz w:val="32"/>
          <w:szCs w:val="32"/>
          <w:highlight w:val="none"/>
          <w:u w:val="none"/>
          <w:lang w:val="en-US" w:eastAsia="zh-CN" w:bidi="zh-CN"/>
        </w:rPr>
        <w:t>体育运动</w:t>
      </w:r>
      <w:r>
        <w:rPr>
          <w:rFonts w:hint="eastAsia" w:ascii="仿宋_GB2312" w:hAnsi="仿宋_GB2312" w:eastAsia="仿宋_GB2312" w:cs="仿宋_GB2312"/>
          <w:b w:val="0"/>
          <w:bCs w:val="0"/>
          <w:sz w:val="32"/>
          <w:szCs w:val="32"/>
          <w:highlight w:val="none"/>
          <w:u w:val="none"/>
          <w:lang w:val="zh-CN" w:eastAsia="zh-CN" w:bidi="zh-CN"/>
        </w:rPr>
        <w:t>进校园，</w:t>
      </w:r>
      <w:r>
        <w:rPr>
          <w:rFonts w:hint="eastAsia" w:ascii="Calibri" w:hAnsi="Calibri" w:eastAsia="仿宋_GB2312" w:cs="Times New Roman"/>
          <w:color w:val="000000"/>
          <w:sz w:val="32"/>
          <w:szCs w:val="32"/>
          <w:u w:val="none"/>
          <w:lang w:val="en-US" w:eastAsia="zh-CN"/>
        </w:rPr>
        <w:t>成立</w:t>
      </w:r>
      <w:r>
        <w:rPr>
          <w:rFonts w:hint="eastAsia" w:ascii="Calibri" w:hAnsi="Calibri" w:eastAsia="仿宋_GB2312" w:cs="Times New Roman"/>
          <w:color w:val="000000"/>
          <w:sz w:val="32"/>
          <w:szCs w:val="32"/>
          <w:u w:val="none"/>
        </w:rPr>
        <w:t>“北京教育学院中小学师生冰雪运动实训基地”</w:t>
      </w:r>
      <w:r>
        <w:rPr>
          <w:rFonts w:hint="eastAsia" w:ascii="Calibri" w:hAnsi="Calibri" w:eastAsia="仿宋_GB2312" w:cs="Times New Roman"/>
          <w:color w:val="000000"/>
          <w:sz w:val="32"/>
          <w:szCs w:val="32"/>
          <w:u w:val="none"/>
          <w:lang w:eastAsia="zh-CN"/>
        </w:rPr>
        <w:t>，</w:t>
      </w:r>
      <w:r>
        <w:rPr>
          <w:rFonts w:hint="eastAsia" w:ascii="仿宋_GB2312" w:hAnsi="仿宋_GB2312" w:eastAsia="仿宋_GB2312" w:cs="仿宋_GB2312"/>
          <w:b w:val="0"/>
          <w:bCs w:val="0"/>
          <w:sz w:val="32"/>
          <w:szCs w:val="32"/>
          <w:highlight w:val="none"/>
          <w:u w:val="none"/>
          <w:lang w:val="en-US" w:eastAsia="zh-CN" w:bidi="zh-CN"/>
        </w:rPr>
        <w:t>服务体育强国和健康中国建设</w:t>
      </w:r>
      <w:r>
        <w:rPr>
          <w:rFonts w:hint="eastAsia" w:ascii="仿宋_GB2312" w:hAnsi="仿宋_GB2312" w:eastAsia="仿宋_GB2312" w:cs="仿宋_GB2312"/>
          <w:b w:val="0"/>
          <w:bCs w:val="0"/>
          <w:sz w:val="32"/>
          <w:szCs w:val="32"/>
          <w:highlight w:val="none"/>
          <w:u w:val="none"/>
          <w:lang w:val="zh-CN" w:eastAsia="zh-CN" w:bidi="zh-CN"/>
        </w:rPr>
        <w:t>。</w:t>
      </w:r>
    </w:p>
    <w:p w14:paraId="0809D9F9">
      <w:pPr>
        <w:keepNext w:val="0"/>
        <w:keepLines w:val="0"/>
        <w:pageBreakBefore w:val="0"/>
        <w:widowControl w:val="0"/>
        <w:kinsoku/>
        <w:wordWrap/>
        <w:overflowPunct w:val="0"/>
        <w:topLinePunct w:val="0"/>
        <w:autoSpaceDE/>
        <w:autoSpaceDN/>
        <w:bidi w:val="0"/>
        <w:spacing w:beforeAutospacing="0" w:afterAutospacing="0" w:line="600" w:lineRule="exact"/>
        <w:ind w:leftChars="0" w:firstLine="643" w:firstLineChars="200"/>
        <w:jc w:val="both"/>
        <w:textAlignment w:val="auto"/>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u w:val="none"/>
          <w:lang w:val="en-US" w:eastAsia="zh-CN"/>
        </w:rPr>
        <w:t>教育数字化转型稳步推进。</w:t>
      </w:r>
      <w:r>
        <w:rPr>
          <w:rFonts w:hint="eastAsia" w:ascii="仿宋_GB2312" w:hAnsi="仿宋_GB2312" w:eastAsia="仿宋_GB2312" w:cs="仿宋_GB2312"/>
          <w:b w:val="0"/>
          <w:bCs w:val="0"/>
          <w:sz w:val="32"/>
          <w:szCs w:val="32"/>
          <w:highlight w:val="none"/>
          <w:u w:val="none"/>
          <w:lang w:val="en-US" w:eastAsia="zh-CN"/>
        </w:rPr>
        <w:t>创建</w:t>
      </w:r>
      <w:r>
        <w:rPr>
          <w:rFonts w:hint="default" w:ascii="仿宋_GB2312" w:hAnsi="仿宋_GB2312" w:eastAsia="仿宋_GB2312" w:cs="仿宋_GB2312"/>
          <w:b w:val="0"/>
          <w:bCs w:val="0"/>
          <w:sz w:val="32"/>
          <w:szCs w:val="32"/>
          <w:highlight w:val="none"/>
          <w:u w:val="none"/>
          <w:lang w:val="zh-CN" w:eastAsia="zh-CN" w:bidi="zh-CN"/>
        </w:rPr>
        <w:t>“北京教师学习网”</w:t>
      </w:r>
      <w:r>
        <w:rPr>
          <w:rFonts w:hint="eastAsia" w:ascii="仿宋_GB2312" w:hAnsi="仿宋_GB2312" w:eastAsia="仿宋_GB2312" w:cs="仿宋_GB2312"/>
          <w:b w:val="0"/>
          <w:bCs w:val="0"/>
          <w:sz w:val="32"/>
          <w:szCs w:val="32"/>
          <w:highlight w:val="none"/>
          <w:u w:val="none"/>
          <w:lang w:val="en-US" w:eastAsia="zh-CN" w:bidi="zh-CN"/>
        </w:rPr>
        <w:t>并高水平运行，</w:t>
      </w:r>
      <w:r>
        <w:rPr>
          <w:rFonts w:hint="eastAsia" w:ascii="Times New Roman" w:hAnsi="Times New Roman" w:eastAsia="仿宋_GB2312" w:cs="Times New Roman"/>
          <w:b w:val="0"/>
          <w:bCs w:val="0"/>
          <w:sz w:val="32"/>
          <w:szCs w:val="32"/>
          <w:u w:val="none"/>
          <w:lang w:val="en-US" w:eastAsia="zh-CN"/>
        </w:rPr>
        <w:t>累计</w:t>
      </w:r>
      <w:r>
        <w:rPr>
          <w:rFonts w:hint="default" w:ascii="Times New Roman" w:hAnsi="Times New Roman" w:eastAsia="仿宋_GB2312" w:cs="Times New Roman"/>
          <w:b w:val="0"/>
          <w:bCs w:val="0"/>
          <w:sz w:val="32"/>
          <w:szCs w:val="32"/>
          <w:highlight w:val="none"/>
          <w:u w:val="none"/>
          <w:lang w:val="en-US" w:eastAsia="zh-CN"/>
        </w:rPr>
        <w:t>上线优质课程资源41</w:t>
      </w:r>
      <w:r>
        <w:rPr>
          <w:rFonts w:hint="eastAsia" w:ascii="Times New Roman" w:hAnsi="Times New Roman" w:eastAsia="仿宋_GB2312" w:cs="Times New Roman"/>
          <w:b w:val="0"/>
          <w:bCs w:val="0"/>
          <w:sz w:val="32"/>
          <w:szCs w:val="32"/>
          <w:highlight w:val="none"/>
          <w:u w:val="none"/>
          <w:lang w:val="en-US" w:eastAsia="zh-CN"/>
        </w:rPr>
        <w:t>43</w:t>
      </w:r>
      <w:r>
        <w:rPr>
          <w:rFonts w:hint="default" w:ascii="Times New Roman" w:hAnsi="Times New Roman" w:eastAsia="仿宋_GB2312" w:cs="Times New Roman"/>
          <w:b w:val="0"/>
          <w:bCs w:val="0"/>
          <w:sz w:val="32"/>
          <w:szCs w:val="32"/>
          <w:highlight w:val="none"/>
          <w:u w:val="none"/>
          <w:lang w:val="en-US" w:eastAsia="zh-CN"/>
        </w:rPr>
        <w:t>节，</w:t>
      </w:r>
      <w:r>
        <w:rPr>
          <w:rFonts w:hint="default" w:ascii="Times New Roman" w:hAnsi="Times New Roman" w:eastAsia="仿宋_GB2312" w:cs="Times New Roman"/>
          <w:b w:val="0"/>
          <w:bCs w:val="0"/>
          <w:sz w:val="32"/>
          <w:szCs w:val="32"/>
          <w:u w:val="none"/>
          <w:lang w:val="en-US" w:eastAsia="zh-CN"/>
        </w:rPr>
        <w:t>访问量</w:t>
      </w:r>
      <w:r>
        <w:rPr>
          <w:rFonts w:hint="default" w:ascii="Times New Roman" w:hAnsi="Times New Roman" w:eastAsia="仿宋_GB2312" w:cs="Times New Roman"/>
          <w:b w:val="0"/>
          <w:bCs w:val="0"/>
          <w:sz w:val="32"/>
          <w:szCs w:val="32"/>
          <w:highlight w:val="none"/>
          <w:u w:val="none"/>
          <w:lang w:val="zh-CN" w:eastAsia="zh-CN" w:bidi="zh-CN"/>
        </w:rPr>
        <w:t>近千万人次</w:t>
      </w:r>
      <w:r>
        <w:rPr>
          <w:rFonts w:hint="default" w:ascii="Times New Roman" w:hAnsi="Times New Roman" w:eastAsia="仿宋_GB2312" w:cs="Times New Roman"/>
          <w:b w:val="0"/>
          <w:bCs w:val="0"/>
          <w:sz w:val="32"/>
          <w:szCs w:val="32"/>
          <w:highlight w:val="none"/>
          <w:u w:val="none"/>
          <w:lang w:val="en-US" w:eastAsia="zh-CN"/>
        </w:rPr>
        <w:t>，</w:t>
      </w:r>
      <w:r>
        <w:rPr>
          <w:rFonts w:hint="default" w:ascii="Times New Roman" w:hAnsi="Times New Roman" w:eastAsia="仿宋_GB2312" w:cs="Times New Roman"/>
          <w:b w:val="0"/>
          <w:bCs w:val="0"/>
          <w:sz w:val="32"/>
          <w:szCs w:val="32"/>
          <w:highlight w:val="none"/>
          <w:u w:val="none"/>
          <w:lang w:val="zh-CN" w:eastAsia="zh-CN" w:bidi="zh-CN"/>
        </w:rPr>
        <w:t>服务首都23万干部教师个性化学习，</w:t>
      </w:r>
      <w:r>
        <w:rPr>
          <w:rFonts w:hint="default" w:ascii="仿宋_GB2312" w:hAnsi="仿宋_GB2312" w:eastAsia="仿宋_GB2312" w:cs="仿宋_GB2312"/>
          <w:b w:val="0"/>
          <w:bCs w:val="0"/>
          <w:sz w:val="32"/>
          <w:szCs w:val="32"/>
          <w:highlight w:val="none"/>
          <w:u w:val="none"/>
          <w:lang w:val="zh-CN" w:eastAsia="zh-CN" w:bidi="zh-CN"/>
        </w:rPr>
        <w:t>成为</w:t>
      </w:r>
      <w:r>
        <w:rPr>
          <w:rFonts w:hint="eastAsia" w:ascii="仿宋_GB2312" w:hAnsi="仿宋_GB2312" w:eastAsia="仿宋_GB2312" w:cs="仿宋_GB2312"/>
          <w:b w:val="0"/>
          <w:bCs w:val="0"/>
          <w:sz w:val="32"/>
          <w:szCs w:val="32"/>
          <w:highlight w:val="none"/>
          <w:u w:val="none"/>
          <w:lang w:val="en-US" w:eastAsia="zh-CN" w:bidi="zh-CN"/>
        </w:rPr>
        <w:t>北京教育</w:t>
      </w:r>
      <w:r>
        <w:rPr>
          <w:rFonts w:hint="default" w:ascii="仿宋_GB2312" w:hAnsi="仿宋_GB2312" w:eastAsia="仿宋_GB2312" w:cs="仿宋_GB2312"/>
          <w:b w:val="0"/>
          <w:bCs w:val="0"/>
          <w:sz w:val="32"/>
          <w:szCs w:val="32"/>
          <w:highlight w:val="none"/>
          <w:u w:val="none"/>
          <w:lang w:val="zh-CN" w:eastAsia="zh-CN" w:bidi="zh-CN"/>
        </w:rPr>
        <w:t>数字化转型</w:t>
      </w:r>
      <w:r>
        <w:rPr>
          <w:rFonts w:hint="eastAsia" w:ascii="仿宋_GB2312" w:hAnsi="仿宋_GB2312" w:eastAsia="仿宋_GB2312" w:cs="仿宋_GB2312"/>
          <w:b w:val="0"/>
          <w:bCs w:val="0"/>
          <w:sz w:val="32"/>
          <w:szCs w:val="32"/>
          <w:highlight w:val="none"/>
          <w:u w:val="none"/>
          <w:lang w:val="en-US" w:eastAsia="zh-CN" w:bidi="zh-CN"/>
        </w:rPr>
        <w:t>的</w:t>
      </w:r>
      <w:r>
        <w:rPr>
          <w:rFonts w:hint="default" w:ascii="仿宋_GB2312" w:hAnsi="仿宋_GB2312" w:eastAsia="仿宋_GB2312" w:cs="仿宋_GB2312"/>
          <w:b w:val="0"/>
          <w:bCs w:val="0"/>
          <w:sz w:val="32"/>
          <w:szCs w:val="32"/>
          <w:highlight w:val="none"/>
          <w:u w:val="none"/>
          <w:lang w:val="zh-CN" w:eastAsia="zh-CN" w:bidi="zh-CN"/>
        </w:rPr>
        <w:t>优秀案例</w:t>
      </w:r>
      <w:r>
        <w:rPr>
          <w:rFonts w:hint="eastAsia" w:ascii="Times New Roman" w:hAnsi="Times New Roman" w:eastAsia="仿宋_GB2312" w:cs="Times New Roman"/>
          <w:b w:val="0"/>
          <w:bCs w:val="0"/>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none"/>
          <w:lang w:val="en-US" w:eastAsia="zh-CN"/>
        </w:rPr>
        <w:t>举办全国、全市研讨会及</w:t>
      </w:r>
      <w:r>
        <w:rPr>
          <w:rFonts w:hint="default" w:ascii="Times New Roman" w:hAnsi="Times New Roman" w:eastAsia="仿宋_GB2312" w:cs="Times New Roman"/>
          <w:b w:val="0"/>
          <w:bCs w:val="0"/>
          <w:sz w:val="32"/>
          <w:szCs w:val="32"/>
          <w:highlight w:val="none"/>
          <w:u w:val="none"/>
          <w:lang w:val="en-US" w:eastAsia="zh-CN"/>
        </w:rPr>
        <w:t>与区域合作联合举办培训成果展示会</w:t>
      </w:r>
      <w:r>
        <w:rPr>
          <w:rFonts w:hint="eastAsia" w:ascii="Times New Roman" w:hAnsi="Times New Roman" w:eastAsia="仿宋_GB2312" w:cs="Times New Roman"/>
          <w:b w:val="0"/>
          <w:bCs w:val="0"/>
          <w:sz w:val="32"/>
          <w:szCs w:val="32"/>
          <w:highlight w:val="none"/>
          <w:u w:val="none"/>
          <w:lang w:val="en-US" w:eastAsia="zh-CN"/>
        </w:rPr>
        <w:t>36</w:t>
      </w:r>
      <w:r>
        <w:rPr>
          <w:rFonts w:hint="default" w:ascii="Times New Roman" w:hAnsi="Times New Roman" w:eastAsia="仿宋_GB2312" w:cs="Times New Roman"/>
          <w:b w:val="0"/>
          <w:bCs w:val="0"/>
          <w:sz w:val="32"/>
          <w:szCs w:val="32"/>
          <w:highlight w:val="none"/>
          <w:u w:val="none"/>
          <w:lang w:val="en-US" w:eastAsia="zh-CN"/>
        </w:rPr>
        <w:t>场，</w:t>
      </w:r>
      <w:r>
        <w:rPr>
          <w:rFonts w:hint="default" w:ascii="Times New Roman" w:hAnsi="Times New Roman" w:eastAsia="仿宋_GB2312" w:cs="Times New Roman"/>
          <w:b w:val="0"/>
          <w:bCs w:val="0"/>
          <w:sz w:val="32"/>
          <w:szCs w:val="32"/>
          <w:u w:val="none"/>
          <w:lang w:val="en-US" w:eastAsia="zh-CN"/>
        </w:rPr>
        <w:t>打造</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数智赋能</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品牌。</w:t>
      </w:r>
      <w:r>
        <w:rPr>
          <w:rFonts w:hint="eastAsia" w:ascii="仿宋_GB2312" w:hAnsi="仿宋_GB2312" w:eastAsia="仿宋_GB2312" w:cs="仿宋_GB2312"/>
          <w:b w:val="0"/>
          <w:bCs w:val="0"/>
          <w:sz w:val="32"/>
          <w:szCs w:val="32"/>
          <w:u w:val="none"/>
          <w:lang w:val="en-US" w:eastAsia="zh-CN"/>
        </w:rPr>
        <w:t>探索教师精准画像、课堂行为分析等数字化应用，</w:t>
      </w:r>
      <w:r>
        <w:rPr>
          <w:rFonts w:hint="default" w:ascii="仿宋_GB2312" w:hAnsi="仿宋_GB2312" w:eastAsia="仿宋_GB2312" w:cs="仿宋_GB2312"/>
          <w:b w:val="0"/>
          <w:bCs w:val="0"/>
          <w:sz w:val="32"/>
          <w:szCs w:val="32"/>
          <w:highlight w:val="none"/>
          <w:u w:val="none"/>
          <w:lang w:val="zh-CN" w:eastAsia="zh-CN" w:bidi="zh-CN"/>
        </w:rPr>
        <w:t>赋能</w:t>
      </w:r>
      <w:r>
        <w:rPr>
          <w:rFonts w:hint="eastAsia" w:ascii="仿宋_GB2312" w:hAnsi="仿宋_GB2312" w:eastAsia="仿宋_GB2312" w:cs="仿宋_GB2312"/>
          <w:b w:val="0"/>
          <w:bCs w:val="0"/>
          <w:sz w:val="32"/>
          <w:szCs w:val="32"/>
          <w:highlight w:val="none"/>
          <w:u w:val="none"/>
          <w:lang w:val="en-US" w:eastAsia="zh-CN" w:bidi="zh-CN"/>
        </w:rPr>
        <w:t>首都基础教育</w:t>
      </w:r>
      <w:r>
        <w:rPr>
          <w:rFonts w:hint="default" w:ascii="仿宋_GB2312" w:hAnsi="仿宋_GB2312" w:eastAsia="仿宋_GB2312" w:cs="仿宋_GB2312"/>
          <w:b w:val="0"/>
          <w:bCs w:val="0"/>
          <w:sz w:val="32"/>
          <w:szCs w:val="32"/>
          <w:highlight w:val="none"/>
          <w:u w:val="none"/>
          <w:lang w:val="zh-CN" w:eastAsia="zh-CN" w:bidi="zh-CN"/>
        </w:rPr>
        <w:t>教学改革</w:t>
      </w:r>
      <w:r>
        <w:rPr>
          <w:rFonts w:hint="eastAsia" w:ascii="仿宋_GB2312" w:hAnsi="仿宋_GB2312" w:eastAsia="仿宋_GB2312" w:cs="仿宋_GB2312"/>
          <w:b w:val="0"/>
          <w:bCs w:val="0"/>
          <w:sz w:val="32"/>
          <w:szCs w:val="32"/>
          <w:highlight w:val="none"/>
          <w:u w:val="none"/>
          <w:lang w:val="en-US" w:eastAsia="zh-CN" w:bidi="zh-CN"/>
        </w:rPr>
        <w:t>创新</w:t>
      </w:r>
      <w:r>
        <w:rPr>
          <w:rFonts w:hint="default" w:ascii="仿宋_GB2312" w:hAnsi="仿宋_GB2312" w:eastAsia="仿宋_GB2312" w:cs="仿宋_GB2312"/>
          <w:b w:val="0"/>
          <w:bCs w:val="0"/>
          <w:sz w:val="32"/>
          <w:szCs w:val="32"/>
          <w:highlight w:val="none"/>
          <w:u w:val="none"/>
          <w:lang w:val="zh-CN" w:eastAsia="zh-CN" w:bidi="zh-CN"/>
        </w:rPr>
        <w:t>。承担</w:t>
      </w:r>
      <w:r>
        <w:rPr>
          <w:rFonts w:hint="default" w:ascii="Times New Roman" w:hAnsi="Times New Roman" w:eastAsia="仿宋_GB2312" w:cs="Times New Roman"/>
          <w:b w:val="0"/>
          <w:bCs w:val="0"/>
          <w:sz w:val="32"/>
          <w:szCs w:val="32"/>
          <w:highlight w:val="none"/>
          <w:u w:val="none"/>
          <w:lang w:val="en-US" w:eastAsia="zh-CN" w:bidi="zh-CN"/>
        </w:rPr>
        <w:t>2025年</w:t>
      </w:r>
      <w:r>
        <w:rPr>
          <w:rFonts w:hint="default" w:ascii="仿宋_GB2312" w:hAnsi="仿宋_GB2312" w:eastAsia="仿宋_GB2312" w:cs="仿宋_GB2312"/>
          <w:b w:val="0"/>
          <w:bCs w:val="0"/>
          <w:sz w:val="32"/>
          <w:szCs w:val="32"/>
          <w:highlight w:val="none"/>
          <w:u w:val="none"/>
          <w:lang w:val="zh-CN" w:eastAsia="zh-CN" w:bidi="zh-CN"/>
        </w:rPr>
        <w:t>全市人工智能教师全员实训</w:t>
      </w:r>
      <w:r>
        <w:rPr>
          <w:rFonts w:hint="eastAsia" w:ascii="仿宋_GB2312" w:hAnsi="仿宋_GB2312" w:eastAsia="仿宋_GB2312" w:cs="仿宋_GB2312"/>
          <w:b w:val="0"/>
          <w:bCs w:val="0"/>
          <w:sz w:val="32"/>
          <w:szCs w:val="32"/>
          <w:highlight w:val="none"/>
          <w:u w:val="none"/>
          <w:lang w:val="en-US" w:eastAsia="zh-CN"/>
        </w:rPr>
        <w:t>。</w:t>
      </w:r>
    </w:p>
    <w:p w14:paraId="37CEB8F2">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color w:val="auto"/>
          <w:sz w:val="32"/>
          <w:szCs w:val="32"/>
          <w:highlight w:val="none"/>
          <w:u w:val="none"/>
          <w:lang w:val="en-US" w:eastAsia="zh-CN"/>
        </w:rPr>
        <w:t>主动服务国家战略彰显担当。</w:t>
      </w:r>
      <w:r>
        <w:rPr>
          <w:rFonts w:hint="eastAsia" w:ascii="仿宋_GB2312" w:hAnsi="仿宋_GB2312" w:eastAsia="仿宋_GB2312" w:cs="仿宋_GB2312"/>
          <w:b w:val="0"/>
          <w:bCs w:val="0"/>
          <w:color w:val="auto"/>
          <w:sz w:val="32"/>
          <w:szCs w:val="32"/>
          <w:highlight w:val="none"/>
          <w:u w:val="none"/>
          <w:lang w:val="en-US" w:eastAsia="zh-CN"/>
        </w:rPr>
        <w:t>承担教育部“国培计划”培训团队研修执行办公室职能，</w:t>
      </w:r>
      <w:r>
        <w:rPr>
          <w:rFonts w:hint="eastAsia" w:ascii="Times New Roman" w:hAnsi="Times New Roman" w:eastAsia="仿宋_GB2312" w:cs="Times New Roman"/>
          <w:b w:val="0"/>
          <w:bCs w:val="0"/>
          <w:sz w:val="32"/>
          <w:szCs w:val="32"/>
          <w:highlight w:val="none"/>
          <w:u w:val="none"/>
          <w:lang w:val="en-US" w:eastAsia="zh-CN" w:bidi="zh-CN"/>
        </w:rPr>
        <w:t>连续入选“国培计划”示范项目承担院校和教育部“双名计划”名校长培养基地，特别是2023年开展的5个国培示范项目，首次实现4种类型全覆盖，累计培训2492人次，学员对项目总体满意度达100%。承担云南、江西等六省市“国培计划”中西部骨干项目，培训近5000人次。圆满完成教育支援任务，有力支持新疆、青海、甘肃、内蒙古、河北等地教育发展，相关工作获新华社《国内动态清样》专题报道和市委领导批示肯定，共计培训学员42754人次。积极服务京津冀教育协同发展，</w:t>
      </w:r>
      <w:r>
        <w:rPr>
          <w:rFonts w:hint="eastAsia" w:ascii="仿宋_GB2312" w:hAnsi="仿宋_GB2312" w:eastAsia="仿宋_GB2312" w:cs="仿宋_GB2312"/>
          <w:b w:val="0"/>
          <w:bCs w:val="0"/>
          <w:sz w:val="32"/>
          <w:szCs w:val="32"/>
          <w:u w:val="none"/>
          <w:lang w:val="en-US" w:eastAsia="zh-CN"/>
        </w:rPr>
        <w:t>成立“北京教育学院雄安教师培训基地”，常态化送教送培，</w:t>
      </w:r>
      <w:r>
        <w:rPr>
          <w:rFonts w:hint="eastAsia" w:ascii="仿宋_GB2312" w:hAnsi="仿宋_GB2312" w:eastAsia="仿宋_GB2312" w:cs="仿宋_GB2312"/>
          <w:b w:val="0"/>
          <w:bCs w:val="0"/>
          <w:sz w:val="32"/>
          <w:szCs w:val="32"/>
          <w:highlight w:val="none"/>
          <w:u w:val="none"/>
          <w:lang w:val="en-US" w:eastAsia="zh-CN"/>
        </w:rPr>
        <w:t>市级主体班次向雄安开放</w:t>
      </w:r>
      <w:r>
        <w:rPr>
          <w:rFonts w:hint="eastAsia" w:ascii="仿宋_GB2312" w:hAnsi="仿宋_GB2312" w:eastAsia="仿宋_GB2312" w:cs="仿宋_GB2312"/>
          <w:b w:val="0"/>
          <w:bCs w:val="0"/>
          <w:sz w:val="32"/>
          <w:szCs w:val="32"/>
          <w:u w:val="none"/>
          <w:lang w:val="en-US" w:eastAsia="zh-CN"/>
        </w:rPr>
        <w:t>。高水平</w:t>
      </w:r>
      <w:r>
        <w:rPr>
          <w:rFonts w:hint="eastAsia" w:ascii="仿宋_GB2312" w:hAnsi="仿宋_GB2312" w:eastAsia="仿宋_GB2312" w:cs="仿宋_GB2312"/>
          <w:b w:val="0"/>
          <w:bCs w:val="0"/>
          <w:sz w:val="32"/>
          <w:szCs w:val="32"/>
          <w:highlight w:val="none"/>
          <w:u w:val="none"/>
          <w:lang w:val="en-US" w:eastAsia="zh-CN"/>
        </w:rPr>
        <w:t>组织“京津冀学校铸牢中华民族共同体意识培训”，</w:t>
      </w:r>
      <w:r>
        <w:rPr>
          <w:rFonts w:hint="eastAsia" w:ascii="仿宋_GB2312" w:hAnsi="仿宋_GB2312" w:eastAsia="仿宋_GB2312" w:cs="仿宋_GB2312"/>
          <w:b w:val="0"/>
          <w:bCs w:val="0"/>
          <w:sz w:val="32"/>
          <w:szCs w:val="32"/>
          <w:u w:val="none"/>
          <w:lang w:val="en-US" w:eastAsia="zh-CN"/>
        </w:rPr>
        <w:t>连续举办</w:t>
      </w:r>
      <w:r>
        <w:rPr>
          <w:rFonts w:hint="eastAsia" w:ascii="仿宋_GB2312" w:hAnsi="仿宋_GB2312" w:eastAsia="仿宋_GB2312" w:cs="仿宋_GB2312"/>
          <w:b w:val="0"/>
          <w:bCs w:val="0"/>
          <w:sz w:val="32"/>
          <w:szCs w:val="32"/>
          <w:highlight w:val="none"/>
          <w:u w:val="none"/>
          <w:lang w:val="en-US" w:eastAsia="zh-CN"/>
        </w:rPr>
        <w:t>三届</w:t>
      </w:r>
      <w:r>
        <w:rPr>
          <w:rFonts w:hint="eastAsia" w:ascii="仿宋_GB2312" w:hAnsi="仿宋_GB2312" w:eastAsia="仿宋_GB2312" w:cs="仿宋_GB2312"/>
          <w:b w:val="0"/>
          <w:bCs w:val="0"/>
          <w:sz w:val="32"/>
          <w:szCs w:val="32"/>
          <w:u w:val="none"/>
          <w:lang w:val="en-US" w:eastAsia="zh-CN"/>
        </w:rPr>
        <w:t>京雄学校发展共同体论坛、</w:t>
      </w:r>
      <w:r>
        <w:rPr>
          <w:rFonts w:hint="eastAsia" w:ascii="仿宋_GB2312" w:hAnsi="仿宋_GB2312" w:eastAsia="仿宋_GB2312" w:cs="仿宋_GB2312"/>
          <w:b w:val="0"/>
          <w:bCs w:val="0"/>
          <w:sz w:val="32"/>
          <w:szCs w:val="32"/>
          <w:highlight w:val="none"/>
          <w:u w:val="none"/>
          <w:lang w:val="en-US" w:eastAsia="zh-CN"/>
        </w:rPr>
        <w:t>五届</w:t>
      </w:r>
      <w:r>
        <w:rPr>
          <w:rFonts w:hint="eastAsia" w:ascii="仿宋_GB2312" w:hAnsi="仿宋_GB2312" w:eastAsia="仿宋_GB2312" w:cs="仿宋_GB2312"/>
          <w:b w:val="0"/>
          <w:bCs w:val="0"/>
          <w:sz w:val="32"/>
          <w:szCs w:val="32"/>
          <w:u w:val="none"/>
          <w:lang w:val="en-US" w:eastAsia="zh-CN"/>
        </w:rPr>
        <w:t>京津冀小学校长办学实践研讨会。</w:t>
      </w:r>
    </w:p>
    <w:p w14:paraId="4CFC117D">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助力首都基础教育优质均衡。</w:t>
      </w:r>
      <w:r>
        <w:rPr>
          <w:rFonts w:hint="eastAsia" w:ascii="仿宋_GB2312" w:hAnsi="仿宋_GB2312" w:eastAsia="仿宋_GB2312" w:cs="仿宋_GB2312"/>
          <w:b w:val="0"/>
          <w:bCs w:val="0"/>
          <w:sz w:val="32"/>
          <w:szCs w:val="32"/>
          <w:u w:val="none"/>
          <w:lang w:val="en-US" w:eastAsia="zh-CN"/>
        </w:rPr>
        <w:t>持续支持通州副中心建设，连续举办</w:t>
      </w:r>
      <w:r>
        <w:rPr>
          <w:rFonts w:hint="default" w:ascii="Times New Roman" w:hAnsi="Times New Roman" w:eastAsia="仿宋_GB2312" w:cs="Times New Roman"/>
          <w:b w:val="0"/>
          <w:bCs w:val="0"/>
          <w:sz w:val="32"/>
          <w:szCs w:val="32"/>
          <w:highlight w:val="none"/>
          <w:u w:val="none"/>
          <w:lang w:val="en-US" w:eastAsia="zh-CN"/>
        </w:rPr>
        <w:t>3</w:t>
      </w:r>
      <w:r>
        <w:rPr>
          <w:rFonts w:hint="eastAsia" w:ascii="仿宋_GB2312" w:hAnsi="仿宋_GB2312" w:eastAsia="仿宋_GB2312" w:cs="仿宋_GB2312"/>
          <w:b w:val="0"/>
          <w:bCs w:val="0"/>
          <w:sz w:val="32"/>
          <w:szCs w:val="32"/>
          <w:highlight w:val="none"/>
          <w:u w:val="none"/>
          <w:lang w:val="en-US" w:eastAsia="zh-CN"/>
        </w:rPr>
        <w:t>期</w:t>
      </w:r>
      <w:r>
        <w:rPr>
          <w:rFonts w:hint="eastAsia" w:ascii="仿宋_GB2312" w:hAnsi="仿宋_GB2312" w:eastAsia="仿宋_GB2312" w:cs="仿宋_GB2312"/>
          <w:b w:val="0"/>
          <w:bCs w:val="0"/>
          <w:sz w:val="32"/>
          <w:szCs w:val="32"/>
          <w:u w:val="none"/>
          <w:lang w:val="en-US" w:eastAsia="zh-CN"/>
        </w:rPr>
        <w:t>通州名校长（园长）、名师工作室培训，着力</w:t>
      </w:r>
      <w:r>
        <w:rPr>
          <w:rFonts w:hint="eastAsia" w:ascii="仿宋_GB2312" w:hAnsi="仿宋_GB2312" w:eastAsia="仿宋_GB2312" w:cs="仿宋_GB2312"/>
          <w:b w:val="0"/>
          <w:bCs w:val="0"/>
          <w:sz w:val="32"/>
          <w:szCs w:val="32"/>
          <w:highlight w:val="none"/>
          <w:u w:val="none"/>
          <w:lang w:val="en-US" w:eastAsia="zh-CN"/>
        </w:rPr>
        <w:t>打造副中心中小幼教师“头雁”队伍</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highlight w:val="none"/>
          <w:u w:val="none"/>
          <w:lang w:val="en-US" w:eastAsia="zh-CN"/>
        </w:rPr>
        <w:t>精准支持郊区、农村和薄弱学校教育发展，</w:t>
      </w:r>
      <w:r>
        <w:rPr>
          <w:rFonts w:hint="eastAsia" w:ascii="仿宋_GB2312" w:hAnsi="仿宋_GB2312" w:eastAsia="仿宋_GB2312" w:cs="仿宋_GB2312"/>
          <w:b w:val="0"/>
          <w:bCs w:val="0"/>
          <w:sz w:val="32"/>
          <w:szCs w:val="32"/>
          <w:u w:val="none"/>
          <w:lang w:val="en-US" w:eastAsia="zh-CN"/>
        </w:rPr>
        <w:t>推进</w:t>
      </w:r>
      <w:r>
        <w:rPr>
          <w:rFonts w:hint="eastAsia" w:ascii="Times New Roman" w:hAnsi="Times New Roman" w:eastAsia="仿宋_GB2312" w:cs="Times New Roman"/>
          <w:b w:val="0"/>
          <w:bCs w:val="0"/>
          <w:sz w:val="32"/>
          <w:szCs w:val="32"/>
          <w:highlight w:val="none"/>
          <w:u w:val="none"/>
          <w:lang w:val="en-US" w:eastAsia="zh-CN"/>
        </w:rPr>
        <w:t>第2</w:t>
      </w:r>
      <w:r>
        <w:rPr>
          <w:rFonts w:hint="eastAsia" w:ascii="仿宋_GB2312" w:hAnsi="仿宋_GB2312" w:eastAsia="仿宋_GB2312" w:cs="仿宋_GB2312"/>
          <w:b w:val="0"/>
          <w:bCs w:val="0"/>
          <w:sz w:val="32"/>
          <w:szCs w:val="32"/>
          <w:highlight w:val="none"/>
          <w:u w:val="none"/>
          <w:lang w:val="en-US" w:eastAsia="zh-CN"/>
        </w:rPr>
        <w:t>期、第</w:t>
      </w:r>
      <w:r>
        <w:rPr>
          <w:rFonts w:hint="default" w:ascii="Times New Roman" w:hAnsi="Times New Roman" w:eastAsia="仿宋_GB2312" w:cs="Times New Roman"/>
          <w:b w:val="0"/>
          <w:bCs w:val="0"/>
          <w:sz w:val="32"/>
          <w:szCs w:val="32"/>
          <w:highlight w:val="none"/>
          <w:u w:val="none"/>
          <w:lang w:val="en-US" w:eastAsia="zh-CN"/>
        </w:rPr>
        <w:t>3</w:t>
      </w:r>
      <w:r>
        <w:rPr>
          <w:rFonts w:hint="eastAsia" w:ascii="仿宋_GB2312" w:hAnsi="仿宋_GB2312" w:eastAsia="仿宋_GB2312" w:cs="仿宋_GB2312"/>
          <w:b w:val="0"/>
          <w:bCs w:val="0"/>
          <w:sz w:val="32"/>
          <w:szCs w:val="32"/>
          <w:highlight w:val="none"/>
          <w:u w:val="none"/>
          <w:lang w:val="en-US" w:eastAsia="zh-CN"/>
        </w:rPr>
        <w:t>期</w:t>
      </w:r>
      <w:r>
        <w:rPr>
          <w:rFonts w:hint="eastAsia" w:ascii="仿宋_GB2312" w:hAnsi="仿宋_GB2312" w:eastAsia="仿宋_GB2312" w:cs="仿宋_GB2312"/>
          <w:b w:val="0"/>
          <w:bCs w:val="0"/>
          <w:sz w:val="32"/>
          <w:szCs w:val="32"/>
          <w:u w:val="none"/>
          <w:lang w:val="en-US" w:eastAsia="zh-CN"/>
        </w:rPr>
        <w:t>“协同创新学校计划”，涉及</w:t>
      </w:r>
      <w:r>
        <w:rPr>
          <w:rFonts w:hint="default" w:ascii="Times New Roman" w:hAnsi="Times New Roman" w:eastAsia="仿宋_GB2312" w:cs="Times New Roman"/>
          <w:b w:val="0"/>
          <w:bCs w:val="0"/>
          <w:sz w:val="32"/>
          <w:szCs w:val="32"/>
          <w:highlight w:val="none"/>
          <w:u w:val="none"/>
          <w:lang w:val="en-US" w:eastAsia="zh-CN"/>
        </w:rPr>
        <w:t>221所学校、3133名学员，其中农村学员占</w:t>
      </w:r>
      <w:r>
        <w:rPr>
          <w:rFonts w:hint="eastAsia" w:ascii="Times New Roman" w:hAnsi="Times New Roman" w:eastAsia="仿宋_GB2312" w:cs="Times New Roman"/>
          <w:b w:val="0"/>
          <w:bCs w:val="0"/>
          <w:sz w:val="32"/>
          <w:szCs w:val="32"/>
          <w:highlight w:val="none"/>
          <w:u w:val="none"/>
          <w:lang w:val="en-US" w:eastAsia="zh-CN"/>
        </w:rPr>
        <w:t>比</w:t>
      </w:r>
      <w:r>
        <w:rPr>
          <w:rFonts w:hint="default" w:ascii="Times New Roman" w:hAnsi="Times New Roman" w:eastAsia="仿宋_GB2312" w:cs="Times New Roman"/>
          <w:b w:val="0"/>
          <w:bCs w:val="0"/>
          <w:sz w:val="32"/>
          <w:szCs w:val="32"/>
          <w:highlight w:val="none"/>
          <w:u w:val="none"/>
          <w:lang w:val="en-US" w:eastAsia="zh-CN"/>
        </w:rPr>
        <w:t>72%</w:t>
      </w:r>
      <w:r>
        <w:rPr>
          <w:rFonts w:hint="eastAsia" w:ascii="Times New Roman" w:hAnsi="Times New Roman" w:eastAsia="仿宋_GB2312" w:cs="Times New Roman"/>
          <w:b w:val="0"/>
          <w:bCs w:val="0"/>
          <w:sz w:val="32"/>
          <w:szCs w:val="32"/>
          <w:highlight w:val="none"/>
          <w:u w:val="none"/>
          <w:lang w:val="en-US" w:eastAsia="zh-CN"/>
        </w:rPr>
        <w:t>，先后与西城区、</w:t>
      </w:r>
      <w:r>
        <w:rPr>
          <w:rFonts w:hint="eastAsia" w:ascii="仿宋_GB2312" w:hAnsi="仿宋_GB2312" w:eastAsia="仿宋_GB2312" w:cs="仿宋_GB2312"/>
          <w:b w:val="0"/>
          <w:bCs w:val="0"/>
          <w:sz w:val="32"/>
          <w:szCs w:val="32"/>
          <w:u w:val="none"/>
          <w:lang w:val="en-US" w:eastAsia="zh-CN"/>
        </w:rPr>
        <w:t>延庆区、房山区、门头沟区、经开区、平谷区、密云区、怀柔区签署教育合作协议。成立北京教育学院附校联盟，探索构建“一盟、两制、三策略”的工作格局。</w:t>
      </w:r>
    </w:p>
    <w:p w14:paraId="3C66F8B3">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outlineLvl w:val="9"/>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color w:val="auto"/>
          <w:sz w:val="32"/>
          <w:szCs w:val="32"/>
          <w:highlight w:val="none"/>
          <w:u w:val="none"/>
          <w:lang w:val="en-US" w:eastAsia="zh-CN"/>
        </w:rPr>
        <w:t>教育对外开放持续深化。</w:t>
      </w:r>
      <w:r>
        <w:rPr>
          <w:rFonts w:hint="eastAsia" w:ascii="仿宋_GB2312" w:hAnsi="仿宋_GB2312" w:eastAsia="仿宋_GB2312" w:cs="仿宋_GB2312"/>
          <w:b w:val="0"/>
          <w:bCs w:val="0"/>
          <w:sz w:val="32"/>
          <w:szCs w:val="32"/>
          <w:u w:val="none"/>
          <w:lang w:val="en-US" w:eastAsia="zh-CN"/>
        </w:rPr>
        <w:t>高质量运营塞浦路斯大学孔子学院，</w:t>
      </w:r>
      <w:r>
        <w:rPr>
          <w:rFonts w:hint="eastAsia" w:ascii="仿宋_GB2312" w:hAnsi="仿宋_GB2312" w:eastAsia="仿宋_GB2312" w:cs="仿宋_GB2312"/>
          <w:b w:val="0"/>
          <w:bCs w:val="0"/>
          <w:sz w:val="32"/>
          <w:szCs w:val="32"/>
          <w:highlight w:val="none"/>
          <w:u w:val="none"/>
          <w:lang w:val="en-US" w:eastAsia="zh-CN"/>
        </w:rPr>
        <w:t>成功举办</w:t>
      </w:r>
      <w:r>
        <w:rPr>
          <w:rFonts w:hint="eastAsia" w:ascii="Times New Roman" w:hAnsi="Times New Roman" w:eastAsia="仿宋_GB2312" w:cs="仿宋_GB2312"/>
          <w:b w:val="0"/>
          <w:bCs w:val="0"/>
          <w:sz w:val="32"/>
          <w:szCs w:val="32"/>
          <w:highlight w:val="none"/>
          <w:u w:val="none"/>
          <w:lang w:val="en-US" w:eastAsia="zh-CN"/>
        </w:rPr>
        <w:t>10</w:t>
      </w:r>
      <w:r>
        <w:rPr>
          <w:rFonts w:hint="eastAsia" w:ascii="仿宋_GB2312" w:hAnsi="仿宋_GB2312" w:eastAsia="仿宋_GB2312" w:cs="仿宋_GB2312"/>
          <w:b w:val="0"/>
          <w:bCs w:val="0"/>
          <w:sz w:val="32"/>
          <w:szCs w:val="32"/>
          <w:highlight w:val="none"/>
          <w:u w:val="none"/>
          <w:lang w:val="en-US" w:eastAsia="zh-CN"/>
        </w:rPr>
        <w:t>周年庆典暨系列学术交流活动，活动受到新华社及当地媒体的高度关注。</w:t>
      </w:r>
      <w:r>
        <w:rPr>
          <w:rFonts w:hint="eastAsia" w:ascii="仿宋_GB2312" w:hAnsi="仿宋_GB2312" w:eastAsia="仿宋_GB2312" w:cs="仿宋_GB2312"/>
          <w:b w:val="0"/>
          <w:bCs w:val="0"/>
          <w:sz w:val="32"/>
          <w:szCs w:val="32"/>
          <w:u w:val="none"/>
          <w:lang w:val="en-US" w:eastAsia="zh-CN"/>
        </w:rPr>
        <w:t>成功加入</w:t>
      </w:r>
      <w:r>
        <w:rPr>
          <w:rFonts w:hint="default" w:ascii="Times New Roman" w:hAnsi="Times New Roman" w:eastAsia="仿宋_GB2312" w:cs="Times New Roman"/>
          <w:b w:val="0"/>
          <w:bCs w:val="0"/>
          <w:sz w:val="32"/>
          <w:szCs w:val="32"/>
          <w:u w:val="none"/>
          <w:lang w:val="en-US" w:eastAsia="zh-CN"/>
        </w:rPr>
        <w:t>LEAD</w:t>
      </w:r>
      <w:r>
        <w:rPr>
          <w:rFonts w:hint="eastAsia" w:ascii="仿宋_GB2312" w:hAnsi="仿宋_GB2312" w:eastAsia="仿宋_GB2312" w:cs="仿宋_GB2312"/>
          <w:b w:val="0"/>
          <w:bCs w:val="0"/>
          <w:sz w:val="32"/>
          <w:szCs w:val="32"/>
          <w:u w:val="none"/>
          <w:lang w:val="en-US" w:eastAsia="zh-CN"/>
        </w:rPr>
        <w:t>学术联盟，</w:t>
      </w:r>
      <w:r>
        <w:rPr>
          <w:rFonts w:hint="eastAsia" w:ascii="Times New Roman" w:hAnsi="Times New Roman" w:eastAsia="仿宋_GB2312" w:cs="Times New Roman"/>
          <w:sz w:val="32"/>
          <w:szCs w:val="32"/>
          <w:highlight w:val="none"/>
          <w:u w:val="none"/>
          <w:lang w:val="en-US" w:eastAsia="zh-CN"/>
        </w:rPr>
        <w:t>与澳大利亚悉尼大学、西挪威应用科技大学等国外高水平大学签订校际合作协议，持续扩大国际学术交流和教育科研合作。积极开展高水平境内外团组交流，累计接待</w:t>
      </w:r>
      <w:r>
        <w:rPr>
          <w:rFonts w:hint="default" w:ascii="Times New Roman" w:hAnsi="Times New Roman" w:eastAsia="仿宋_GB2312" w:cs="Times New Roman"/>
          <w:kern w:val="0"/>
          <w:sz w:val="32"/>
          <w:szCs w:val="32"/>
          <w:highlight w:val="none"/>
          <w:u w:val="none"/>
          <w:lang w:val="en-US" w:eastAsia="zh-CN" w:bidi="ar"/>
        </w:rPr>
        <w:t>国（境）外35个代表团289人次来访</w:t>
      </w:r>
      <w:r>
        <w:rPr>
          <w:rFonts w:hint="eastAsia" w:ascii="Times New Roman" w:hAnsi="Times New Roman" w:eastAsia="仿宋_GB2312" w:cs="Times New Roman"/>
          <w:kern w:val="0"/>
          <w:sz w:val="32"/>
          <w:szCs w:val="32"/>
          <w:highlight w:val="none"/>
          <w:u w:val="none"/>
          <w:lang w:val="en-US" w:eastAsia="zh-CN" w:bidi="ar"/>
        </w:rPr>
        <w:t>，</w:t>
      </w:r>
      <w:r>
        <w:rPr>
          <w:rFonts w:hint="eastAsia" w:ascii="Times New Roman" w:hAnsi="Times New Roman" w:eastAsia="仿宋_GB2312" w:cs="Times New Roman"/>
          <w:sz w:val="32"/>
          <w:szCs w:val="32"/>
          <w:highlight w:val="none"/>
          <w:u w:val="none"/>
          <w:lang w:val="en-US" w:eastAsia="zh-CN"/>
        </w:rPr>
        <w:t>组织40个因公出访团组，262人次赴国（境）外交流。</w:t>
      </w:r>
    </w:p>
    <w:p w14:paraId="7434FCC9">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jc w:val="both"/>
        <w:textAlignment w:val="auto"/>
        <w:outlineLvl w:val="9"/>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高站位履行代管北京市教师发展中心职责。</w:t>
      </w:r>
      <w:r>
        <w:rPr>
          <w:rFonts w:hint="eastAsia" w:ascii="仿宋_GB2312" w:hAnsi="仿宋_GB2312" w:eastAsia="仿宋_GB2312" w:cs="仿宋_GB2312"/>
          <w:b w:val="0"/>
          <w:bCs w:val="0"/>
          <w:sz w:val="32"/>
          <w:szCs w:val="32"/>
          <w:highlight w:val="none"/>
          <w:u w:val="none"/>
          <w:lang w:val="en-US" w:eastAsia="zh-CN"/>
        </w:rPr>
        <w:t>积极支持</w:t>
      </w:r>
      <w:r>
        <w:rPr>
          <w:rFonts w:hint="eastAsia" w:ascii="Times New Roman" w:hAnsi="Times New Roman" w:eastAsia="仿宋_GB2312" w:cs="Times New Roman"/>
          <w:b w:val="0"/>
          <w:bCs w:val="0"/>
          <w:sz w:val="32"/>
          <w:szCs w:val="32"/>
          <w:highlight w:val="none"/>
          <w:u w:val="none"/>
          <w:lang w:val="en-US" w:eastAsia="zh-CN"/>
        </w:rPr>
        <w:t>中心发挥全市教师专业发展统筹管理职能，</w:t>
      </w:r>
      <w:r>
        <w:rPr>
          <w:rFonts w:hint="eastAsia" w:ascii="Times New Roman" w:hAnsi="Times New Roman" w:eastAsia="仿宋_GB2312" w:cs="Times New Roman"/>
          <w:b w:val="0"/>
          <w:bCs w:val="0"/>
          <w:sz w:val="32"/>
          <w:szCs w:val="32"/>
          <w:u w:val="none"/>
          <w:lang w:val="en-US" w:eastAsia="zh-CN"/>
        </w:rPr>
        <w:t>教师资格认定在国内率先实现“一网通办”，累计完成教师资格认定10万人次、定期注册15万人次、面试组考9.6万人次。积极支持中心组织实施教师职称评审2500余人，特级校长和特级教师评选等4000余人，开展市属高校、中小学师德师风情况月度分析报告，遴选国家级“双师型”教师培训基地和企业实践优质培训基地，为首都教师队伍建设提供坚实支撑。</w:t>
      </w:r>
    </w:p>
    <w:p w14:paraId="361926D5">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outlineLvl w:val="1"/>
        <w:rPr>
          <w:rFonts w:hint="default" w:ascii="Times New Roman" w:hAnsi="Times New Roman" w:eastAsia="楷体_GB2312" w:cs="Times New Roman"/>
          <w:sz w:val="32"/>
          <w:szCs w:val="32"/>
          <w:u w:val="none"/>
          <w:lang w:val="en-US" w:eastAsia="zh-CN"/>
        </w:rPr>
      </w:pPr>
      <w:r>
        <w:rPr>
          <w:rFonts w:hint="eastAsia" w:ascii="Times New Roman" w:hAnsi="Times New Roman" w:eastAsia="楷体_GB2312" w:cs="Times New Roman"/>
          <w:sz w:val="32"/>
          <w:szCs w:val="32"/>
          <w:u w:val="none"/>
          <w:lang w:val="en-US" w:eastAsia="zh-CN"/>
        </w:rPr>
        <w:t>（三）坚持研训一体，科研引领与实践转化持续深入</w:t>
      </w:r>
    </w:p>
    <w:p w14:paraId="223D25DC">
      <w:pPr>
        <w:keepNext w:val="0"/>
        <w:keepLines w:val="0"/>
        <w:pageBreakBefore w:val="0"/>
        <w:widowControl w:val="0"/>
        <w:kinsoku/>
        <w:wordWrap/>
        <w:overflowPunct/>
        <w:topLinePunct w:val="0"/>
        <w:autoSpaceDE/>
        <w:autoSpaceDN/>
        <w:bidi w:val="0"/>
        <w:adjustRightInd/>
        <w:snapToGrid/>
        <w:spacing w:after="0" w:line="600" w:lineRule="exact"/>
        <w:ind w:leftChars="0" w:firstLine="643" w:firstLineChars="200"/>
        <w:jc w:val="both"/>
        <w:textAlignment w:val="auto"/>
        <w:rPr>
          <w:rFonts w:hint="eastAsia" w:ascii="Times New Roman" w:hAnsi="Times New Roman" w:eastAsia="仿宋_GB2312" w:cs="Times New Roman"/>
          <w:b w:val="0"/>
          <w:bCs w:val="0"/>
          <w:kern w:val="2"/>
          <w:sz w:val="32"/>
          <w:szCs w:val="32"/>
          <w:highlight w:val="none"/>
          <w:u w:val="none"/>
          <w:lang w:val="en-US" w:eastAsia="zh-CN" w:bidi="ar-SA"/>
        </w:rPr>
      </w:pPr>
      <w:r>
        <w:rPr>
          <w:rFonts w:hint="eastAsia" w:ascii="Times New Roman" w:hAnsi="Times New Roman" w:eastAsia="仿宋_GB2312" w:cs="Times New Roman"/>
          <w:b/>
          <w:bCs/>
          <w:kern w:val="2"/>
          <w:sz w:val="32"/>
          <w:szCs w:val="32"/>
          <w:u w:val="none"/>
          <w:lang w:val="en-US" w:eastAsia="zh-CN" w:bidi="ar-SA"/>
        </w:rPr>
        <w:t>有组织科研成效显著。</w:t>
      </w:r>
      <w:r>
        <w:rPr>
          <w:rFonts w:hint="eastAsia" w:ascii="Times New Roman" w:hAnsi="Times New Roman" w:eastAsia="仿宋_GB2312" w:cs="Times New Roman"/>
          <w:kern w:val="2"/>
          <w:sz w:val="32"/>
          <w:szCs w:val="32"/>
          <w:highlight w:val="none"/>
          <w:u w:val="none"/>
          <w:lang w:val="en-US" w:eastAsia="zh-CN" w:bidi="ar-SA"/>
        </w:rPr>
        <w:t>规范完成第九届学术委员会换届，强化学术委员会功能，</w:t>
      </w:r>
      <w:r>
        <w:rPr>
          <w:rFonts w:hint="eastAsia" w:ascii="Times New Roman" w:hAnsi="Times New Roman" w:eastAsia="仿宋_GB2312" w:cs="Times New Roman"/>
          <w:b w:val="0"/>
          <w:bCs w:val="0"/>
          <w:kern w:val="2"/>
          <w:sz w:val="32"/>
          <w:szCs w:val="32"/>
          <w:u w:val="none"/>
          <w:lang w:val="en-US" w:eastAsia="zh-CN" w:bidi="ar-SA"/>
        </w:rPr>
        <w:t>加强顶层设计，</w:t>
      </w:r>
      <w:r>
        <w:rPr>
          <w:rFonts w:hint="eastAsia" w:ascii="Times New Roman" w:hAnsi="Times New Roman" w:eastAsia="仿宋_GB2312" w:cs="Times New Roman"/>
          <w:b w:val="0"/>
          <w:bCs w:val="0"/>
          <w:kern w:val="2"/>
          <w:sz w:val="32"/>
          <w:szCs w:val="32"/>
          <w:highlight w:val="none"/>
          <w:u w:val="none"/>
          <w:lang w:val="en-US" w:eastAsia="zh-CN" w:bidi="ar-SA"/>
        </w:rPr>
        <w:t>初步构建了“职后教师教育学”四大学科图谱，完成两轮35个学科创新平台建设，</w:t>
      </w:r>
      <w:r>
        <w:rPr>
          <w:rFonts w:hint="eastAsia" w:ascii="Times New Roman" w:hAnsi="Times New Roman" w:eastAsia="仿宋_GB2312" w:cs="Times New Roman"/>
          <w:kern w:val="2"/>
          <w:sz w:val="32"/>
          <w:szCs w:val="32"/>
          <w:u w:val="none"/>
          <w:lang w:val="en-US" w:eastAsia="zh-CN" w:bidi="ar-SA"/>
        </w:rPr>
        <w:t>累计获得国家级、省部级课题立项108项，发表论文636篇，51项成果转化为“一师一优课”精品课程。</w:t>
      </w:r>
      <w:r>
        <w:rPr>
          <w:rFonts w:hint="eastAsia" w:ascii="Times New Roman" w:hAnsi="Times New Roman" w:eastAsia="仿宋_GB2312" w:cs="Times New Roman"/>
          <w:b w:val="0"/>
          <w:bCs w:val="0"/>
          <w:kern w:val="2"/>
          <w:sz w:val="32"/>
          <w:szCs w:val="32"/>
          <w:highlight w:val="none"/>
          <w:u w:val="none"/>
          <w:lang w:val="en-US" w:eastAsia="zh-CN" w:bidi="ar-SA"/>
        </w:rPr>
        <w:t>创办了“先锋”青年博士讲座、“C刊主编进学院”等特色学术活动，积极提升青年教师科研创新能力。</w:t>
      </w:r>
    </w:p>
    <w:p w14:paraId="2EE7D0AD">
      <w:pPr>
        <w:keepNext w:val="0"/>
        <w:keepLines w:val="0"/>
        <w:pageBreakBefore w:val="0"/>
        <w:widowControl w:val="0"/>
        <w:kinsoku/>
        <w:wordWrap/>
        <w:overflowPunct/>
        <w:topLinePunct w:val="0"/>
        <w:autoSpaceDE/>
        <w:autoSpaceDN/>
        <w:bidi w:val="0"/>
        <w:adjustRightInd/>
        <w:snapToGrid/>
        <w:spacing w:after="0" w:line="600" w:lineRule="exact"/>
        <w:ind w:leftChars="0" w:firstLine="643"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bidi="ar-SA"/>
        </w:rPr>
      </w:pPr>
      <w:r>
        <w:rPr>
          <w:rFonts w:hint="eastAsia" w:ascii="Times New Roman" w:hAnsi="Times New Roman" w:eastAsia="仿宋_GB2312" w:cs="Times New Roman"/>
          <w:b/>
          <w:bCs/>
          <w:kern w:val="2"/>
          <w:sz w:val="32"/>
          <w:szCs w:val="32"/>
          <w:highlight w:val="none"/>
          <w:u w:val="none"/>
          <w:lang w:val="en-US" w:eastAsia="zh-CN" w:bidi="ar-SA"/>
        </w:rPr>
        <w:t>科研产出量质齐升。</w:t>
      </w:r>
      <w:r>
        <w:rPr>
          <w:rFonts w:hint="eastAsia" w:ascii="Times New Roman" w:hAnsi="Times New Roman" w:eastAsia="仿宋_GB2312" w:cs="Times New Roman"/>
          <w:kern w:val="2"/>
          <w:sz w:val="32"/>
          <w:szCs w:val="32"/>
          <w:highlight w:val="none"/>
          <w:u w:val="none"/>
          <w:lang w:val="en-US" w:eastAsia="zh-CN" w:bidi="ar-SA"/>
        </w:rPr>
        <w:t>学院共计获批纵向课题91项，立项院级课题224项。教职工作为独立或第一作者发表论文1598篇，核心期刊及以上级别（SSCI/SCI、CSSCI及北大核心）论文513篇，与一线教师及院外学者合作发表论文近500篇，出版著作385部。</w:t>
      </w:r>
      <w:r>
        <w:rPr>
          <w:rFonts w:hint="eastAsia" w:ascii="Times New Roman" w:hAnsi="Times New Roman" w:eastAsia="仿宋_GB2312" w:cs="Times New Roman"/>
          <w:b w:val="0"/>
          <w:bCs w:val="0"/>
          <w:kern w:val="2"/>
          <w:sz w:val="32"/>
          <w:szCs w:val="32"/>
          <w:highlight w:val="none"/>
          <w:u w:val="none"/>
          <w:lang w:val="en-US" w:eastAsia="zh-CN" w:bidi="ar-SA"/>
        </w:rPr>
        <w:t>成立“学习与思维教育研究中心”等非实体性学术平台，推动跨部门跨学科协同创新。参与《北京市贯彻落实</w:t>
      </w:r>
      <w:r>
        <w:rPr>
          <w:rFonts w:hint="eastAsia" w:ascii="Times New Roman" w:hAnsi="Times New Roman" w:eastAsia="仿宋_GB2312" w:cs="Times New Roman"/>
          <w:b w:val="0"/>
          <w:bCs w:val="0"/>
          <w:color w:val="000000"/>
          <w:kern w:val="2"/>
          <w:sz w:val="32"/>
          <w:szCs w:val="32"/>
          <w:highlight w:val="none"/>
          <w:u w:val="none"/>
          <w:lang w:val="en-US" w:eastAsia="zh-CN" w:bidi="ar-SA"/>
        </w:rPr>
        <w:t>〈教育强国建设规划纲要（2024－2035年）〉实施方案》文件起草并具体承担完成了“素质精良的教师队伍体系”建设调研任务。积极申请</w:t>
      </w:r>
      <w:r>
        <w:rPr>
          <w:rFonts w:hint="eastAsia" w:ascii="Times New Roman" w:hAnsi="Times New Roman" w:eastAsia="仿宋_GB2312" w:cs="Times New Roman"/>
          <w:b w:val="0"/>
          <w:bCs w:val="0"/>
          <w:kern w:val="2"/>
          <w:sz w:val="32"/>
          <w:szCs w:val="32"/>
          <w:highlight w:val="none"/>
          <w:u w:val="none"/>
          <w:lang w:val="en-US" w:eastAsia="zh-CN" w:bidi="ar-SA"/>
        </w:rPr>
        <w:t>并成功获批建设博士后科研工作站，为高层次教育人才培养创造了有利条件。</w:t>
      </w:r>
    </w:p>
    <w:p w14:paraId="79F0BF61">
      <w:pPr>
        <w:keepNext w:val="0"/>
        <w:keepLines w:val="0"/>
        <w:pageBreakBefore w:val="0"/>
        <w:widowControl w:val="0"/>
        <w:kinsoku/>
        <w:wordWrap/>
        <w:overflowPunct/>
        <w:topLinePunct w:val="0"/>
        <w:autoSpaceDE/>
        <w:autoSpaceDN/>
        <w:bidi w:val="0"/>
        <w:adjustRightInd/>
        <w:snapToGrid/>
        <w:spacing w:after="0" w:line="600" w:lineRule="exact"/>
        <w:ind w:leftChars="0" w:firstLine="643" w:firstLineChars="200"/>
        <w:jc w:val="both"/>
        <w:textAlignment w:val="auto"/>
        <w:rPr>
          <w:rFonts w:hint="default"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b/>
          <w:bCs/>
          <w:kern w:val="2"/>
          <w:sz w:val="32"/>
          <w:szCs w:val="32"/>
          <w:highlight w:val="none"/>
          <w:u w:val="none"/>
          <w:lang w:val="en-US" w:eastAsia="zh-CN" w:bidi="ar-SA"/>
        </w:rPr>
        <w:t>学术影响力持续扩大。</w:t>
      </w:r>
      <w:r>
        <w:rPr>
          <w:rFonts w:hint="eastAsia" w:ascii="Times New Roman" w:hAnsi="Times New Roman" w:eastAsia="仿宋_GB2312" w:cs="Times New Roman"/>
          <w:kern w:val="2"/>
          <w:sz w:val="32"/>
          <w:szCs w:val="32"/>
          <w:highlight w:val="none"/>
          <w:u w:val="none"/>
          <w:lang w:val="en-US" w:eastAsia="zh-CN" w:bidi="ar-SA"/>
        </w:rPr>
        <w:t>连续成功举办四届教师学习与专业发展国际研讨会，打造全国教师教育学术交流高地，</w:t>
      </w:r>
      <w:r>
        <w:rPr>
          <w:rFonts w:hint="eastAsia" w:ascii="Times New Roman" w:hAnsi="Times New Roman" w:eastAsia="仿宋_GB2312" w:cs="Times New Roman"/>
          <w:b w:val="0"/>
          <w:bCs w:val="0"/>
          <w:kern w:val="2"/>
          <w:sz w:val="32"/>
          <w:szCs w:val="32"/>
          <w:highlight w:val="none"/>
          <w:u w:val="none"/>
          <w:lang w:val="en-US" w:eastAsia="zh-CN" w:bidi="ar-SA"/>
        </w:rPr>
        <w:t>学院的学术影响力、实践影响力持续提高。</w:t>
      </w:r>
      <w:r>
        <w:rPr>
          <w:rFonts w:hint="eastAsia" w:ascii="Times New Roman" w:hAnsi="Times New Roman" w:eastAsia="仿宋_GB2312" w:cs="Times New Roman"/>
          <w:kern w:val="2"/>
          <w:sz w:val="32"/>
          <w:szCs w:val="32"/>
          <w:u w:val="none"/>
          <w:lang w:val="en-US" w:eastAsia="zh-CN" w:bidi="ar-SA"/>
        </w:rPr>
        <w:t>《教师发展研究》连续入选中国人民大学《复印报刊资料重要转载来源期刊》，2024年在</w:t>
      </w:r>
      <w:r>
        <w:rPr>
          <w:rFonts w:hint="eastAsia" w:ascii="Times New Roman" w:hAnsi="Times New Roman" w:eastAsia="仿宋_GB2312" w:cs="Times New Roman"/>
          <w:color w:val="000000"/>
          <w:kern w:val="2"/>
          <w:sz w:val="32"/>
          <w:szCs w:val="32"/>
          <w:u w:val="none"/>
          <w:lang w:val="en-US" w:eastAsia="zh-CN" w:bidi="ar-SA"/>
        </w:rPr>
        <w:t>教育学学科期刊关注度排行榜中位列第六，著名教育学家</w:t>
      </w:r>
      <w:r>
        <w:rPr>
          <w:rFonts w:ascii="Times New Roman" w:hAnsi="Times New Roman" w:eastAsia="仿宋_GB2312" w:cs="Times New Roman"/>
          <w:color w:val="000000"/>
          <w:kern w:val="2"/>
          <w:sz w:val="32"/>
          <w:szCs w:val="32"/>
          <w:u w:val="none"/>
          <w:lang w:val="en-US" w:eastAsia="zh-CN" w:bidi="ar-SA"/>
        </w:rPr>
        <w:t>顾明远</w:t>
      </w:r>
      <w:r>
        <w:rPr>
          <w:rFonts w:hint="eastAsia" w:ascii="Times New Roman" w:hAnsi="Times New Roman" w:eastAsia="仿宋_GB2312" w:cs="Times New Roman"/>
          <w:color w:val="000000"/>
          <w:kern w:val="2"/>
          <w:sz w:val="32"/>
          <w:szCs w:val="32"/>
          <w:u w:val="none"/>
          <w:lang w:val="en-US" w:eastAsia="zh-CN" w:bidi="ar-SA"/>
        </w:rPr>
        <w:t>为期刊</w:t>
      </w:r>
      <w:r>
        <w:rPr>
          <w:rFonts w:ascii="Times New Roman" w:hAnsi="Times New Roman" w:eastAsia="仿宋_GB2312" w:cs="Times New Roman"/>
          <w:color w:val="000000"/>
          <w:kern w:val="2"/>
          <w:sz w:val="32"/>
          <w:szCs w:val="32"/>
          <w:u w:val="none"/>
          <w:lang w:val="en-US" w:eastAsia="zh-CN" w:bidi="ar-SA"/>
        </w:rPr>
        <w:t>题名</w:t>
      </w:r>
      <w:r>
        <w:rPr>
          <w:rFonts w:hint="eastAsia" w:ascii="Times New Roman" w:hAnsi="Times New Roman" w:eastAsia="仿宋_GB2312" w:cs="Times New Roman"/>
          <w:color w:val="000000"/>
          <w:kern w:val="2"/>
          <w:sz w:val="32"/>
          <w:szCs w:val="32"/>
          <w:u w:val="none"/>
          <w:lang w:val="en-US" w:eastAsia="zh-CN" w:bidi="ar-SA"/>
        </w:rPr>
        <w:t>。</w:t>
      </w:r>
      <w:r>
        <w:rPr>
          <w:rFonts w:hint="eastAsia" w:ascii="Times New Roman" w:hAnsi="Times New Roman" w:eastAsia="仿宋_GB2312" w:cs="Times New Roman"/>
          <w:kern w:val="2"/>
          <w:sz w:val="32"/>
          <w:szCs w:val="32"/>
          <w:u w:val="none"/>
          <w:lang w:val="en-US" w:eastAsia="zh-CN" w:bidi="ar-SA"/>
        </w:rPr>
        <w:t>《北京教育学院学报》入选中国人文社会科学核心期刊（扩展版）。</w:t>
      </w:r>
      <w:r>
        <w:rPr>
          <w:rFonts w:hint="eastAsia" w:ascii="Times New Roman" w:hAnsi="Times New Roman" w:eastAsia="仿宋_GB2312" w:cs="Times New Roman"/>
          <w:kern w:val="2"/>
          <w:sz w:val="32"/>
          <w:szCs w:val="32"/>
          <w:highlight w:val="none"/>
          <w:u w:val="none"/>
          <w:lang w:val="en-US" w:eastAsia="zh-CN" w:bidi="ar-SA"/>
        </w:rPr>
        <w:t>两刊专业影响力持续提升，在北京市报纸期刊社会效益评价中连续多年获得“优秀”等次。持续编辑出版</w:t>
      </w:r>
      <w:r>
        <w:rPr>
          <w:rFonts w:hint="default" w:ascii="Times New Roman" w:hAnsi="Times New Roman" w:eastAsia="仿宋_GB2312" w:cs="Times New Roman"/>
          <w:kern w:val="2"/>
          <w:sz w:val="32"/>
          <w:szCs w:val="32"/>
          <w:highlight w:val="none"/>
          <w:u w:val="none"/>
          <w:lang w:val="en-US" w:eastAsia="zh-CN" w:bidi="ar-SA"/>
        </w:rPr>
        <w:t>《北京教育丛书》</w:t>
      </w:r>
      <w:r>
        <w:rPr>
          <w:rFonts w:hint="eastAsia" w:ascii="Times New Roman" w:hAnsi="Times New Roman" w:eastAsia="仿宋_GB2312" w:cs="Times New Roman"/>
          <w:kern w:val="2"/>
          <w:sz w:val="32"/>
          <w:szCs w:val="32"/>
          <w:highlight w:val="none"/>
          <w:u w:val="none"/>
          <w:lang w:val="en-US" w:eastAsia="zh-CN" w:bidi="ar-SA"/>
        </w:rPr>
        <w:t>，积极服务一线优秀校长教师凝练办学思想。</w:t>
      </w:r>
    </w:p>
    <w:p w14:paraId="0E115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Calibri" w:hAnsi="Calibri" w:cs="Times New Roman"/>
          <w:sz w:val="32"/>
          <w:szCs w:val="32"/>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（四）注重人才强院，教师队伍建设成效显著</w:t>
      </w:r>
    </w:p>
    <w:p w14:paraId="7FC5E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师德师风建设持续深化。</w:t>
      </w:r>
      <w:r>
        <w:rPr>
          <w:rFonts w:hint="eastAsia" w:ascii="Times New Roman" w:hAnsi="Times New Roman" w:eastAsia="仿宋_GB2312" w:cs="Times New Roman"/>
          <w:b w:val="0"/>
          <w:bCs w:val="0"/>
          <w:color w:val="auto"/>
          <w:kern w:val="2"/>
          <w:sz w:val="32"/>
          <w:szCs w:val="32"/>
          <w:u w:val="none"/>
          <w:lang w:val="en-US" w:eastAsia="zh-CN" w:bidi="ar-SA"/>
        </w:rPr>
        <w:t>加强师德师风建设，严格师德师风第一标准，建立</w:t>
      </w:r>
      <w:r>
        <w:rPr>
          <w:rFonts w:hint="default" w:ascii="Times New Roman" w:hAnsi="Times New Roman" w:eastAsia="仿宋_GB2312" w:cs="Times New Roman"/>
          <w:b w:val="0"/>
          <w:bCs w:val="0"/>
          <w:color w:val="auto"/>
          <w:kern w:val="2"/>
          <w:sz w:val="32"/>
          <w:szCs w:val="32"/>
          <w:u w:val="none"/>
          <w:lang w:val="en-US" w:eastAsia="zh-CN" w:bidi="ar-SA"/>
        </w:rPr>
        <w:t>新教师入职宣誓制度和师德承诺制度</w:t>
      </w:r>
      <w:r>
        <w:rPr>
          <w:rFonts w:hint="eastAsia" w:ascii="Times New Roman" w:hAnsi="Times New Roman"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举办青年教师启航成长营，</w:t>
      </w:r>
      <w:r>
        <w:rPr>
          <w:rFonts w:hint="eastAsia" w:ascii="Times New Roman" w:hAnsi="Times New Roman" w:eastAsia="仿宋_GB2312" w:cs="Times New Roman"/>
          <w:b w:val="0"/>
          <w:bCs w:val="0"/>
          <w:color w:val="auto"/>
          <w:kern w:val="2"/>
          <w:sz w:val="32"/>
          <w:szCs w:val="32"/>
          <w:u w:val="none"/>
          <w:lang w:val="en-US" w:eastAsia="zh-CN" w:bidi="ar-SA"/>
        </w:rPr>
        <w:t>帮助青年教师扣好职业生涯“第一粒扣子”。组织实施师德主题教育“六大行动”，通过榜样引领、实践教育、座谈交流等形式，引导教师自觉践行教育家精神。学院2人享受国务院政府特殊津贴，</w:t>
      </w:r>
      <w:r>
        <w:rPr>
          <w:rFonts w:hint="default" w:ascii="Times New Roman" w:hAnsi="Times New Roman" w:eastAsia="仿宋_GB2312" w:cs="Times New Roman"/>
          <w:b w:val="0"/>
          <w:bCs w:val="0"/>
          <w:color w:val="auto"/>
          <w:kern w:val="2"/>
          <w:sz w:val="32"/>
          <w:szCs w:val="32"/>
          <w:highlight w:val="none"/>
          <w:u w:val="none"/>
          <w:lang w:val="en-US" w:eastAsia="zh-CN" w:bidi="ar-SA"/>
        </w:rPr>
        <w:t>1人</w:t>
      </w:r>
      <w:r>
        <w:rPr>
          <w:rFonts w:hint="default" w:ascii="Times New Roman" w:hAnsi="Times New Roman" w:eastAsia="仿宋_GB2312" w:cs="Times New Roman"/>
          <w:b w:val="0"/>
          <w:bCs w:val="0"/>
          <w:color w:val="auto"/>
          <w:kern w:val="2"/>
          <w:sz w:val="32"/>
          <w:szCs w:val="32"/>
          <w:u w:val="none"/>
          <w:lang w:val="en-US" w:eastAsia="zh-CN" w:bidi="ar-SA"/>
        </w:rPr>
        <w:t>获首都劳动奖章、2人获北京市先进工作者、1人获北京市优秀教师。</w:t>
      </w:r>
    </w:p>
    <w:p w14:paraId="49A9EF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人才队伍结构持续优化</w:t>
      </w:r>
      <w:r>
        <w:rPr>
          <w:rFonts w:hint="eastAsia" w:ascii="Times New Roman" w:hAnsi="Times New Roman" w:eastAsia="仿宋_GB2312" w:cs="Times New Roman"/>
          <w:b w:val="0"/>
          <w:bCs w:val="0"/>
          <w:color w:val="auto"/>
          <w:kern w:val="2"/>
          <w:sz w:val="32"/>
          <w:szCs w:val="32"/>
          <w:u w:val="none"/>
          <w:lang w:val="en-US" w:eastAsia="zh-CN" w:bidi="ar-SA"/>
        </w:rPr>
        <w:t>。推进“优教优才”工程，为不同发展阶段的教师搭建发展平台，</w:t>
      </w:r>
      <w:r>
        <w:rPr>
          <w:rFonts w:hint="default" w:ascii="Times New Roman" w:hAnsi="Times New Roman" w:eastAsia="仿宋_GB2312" w:cs="Times New Roman"/>
          <w:b w:val="0"/>
          <w:bCs w:val="0"/>
          <w:color w:val="auto"/>
          <w:kern w:val="2"/>
          <w:sz w:val="32"/>
          <w:szCs w:val="32"/>
          <w:u w:val="none"/>
          <w:lang w:val="en-US" w:eastAsia="zh-CN" w:bidi="ar-SA"/>
        </w:rPr>
        <w:t>举办青教赛、</w:t>
      </w:r>
      <w:r>
        <w:rPr>
          <w:rFonts w:hint="eastAsia" w:ascii="Times New Roman" w:hAnsi="Times New Roman" w:eastAsia="仿宋_GB2312" w:cs="Times New Roman"/>
          <w:b w:val="0"/>
          <w:bCs w:val="0"/>
          <w:color w:val="auto"/>
          <w:kern w:val="2"/>
          <w:sz w:val="32"/>
          <w:szCs w:val="32"/>
          <w:u w:val="none"/>
          <w:lang w:val="en-US" w:eastAsia="zh-CN" w:bidi="ar-SA"/>
        </w:rPr>
        <w:t>青管赛</w:t>
      </w:r>
      <w:r>
        <w:rPr>
          <w:rFonts w:hint="default" w:ascii="Times New Roman" w:hAnsi="Times New Roman" w:eastAsia="仿宋_GB2312" w:cs="Times New Roman"/>
          <w:b w:val="0"/>
          <w:bCs w:val="0"/>
          <w:color w:val="auto"/>
          <w:kern w:val="2"/>
          <w:sz w:val="32"/>
          <w:szCs w:val="32"/>
          <w:u w:val="none"/>
          <w:lang w:val="en-US" w:eastAsia="zh-CN" w:bidi="ar-SA"/>
        </w:rPr>
        <w:t>等活动，安排新入院教师到一线学校锻炼，持续提升教师教书育人能力水平。完成新一轮教职工全员聘任，人岗匹配更加精准。</w:t>
      </w:r>
      <w:r>
        <w:rPr>
          <w:rFonts w:hint="eastAsia" w:ascii="Times New Roman" w:hAnsi="Times New Roman" w:eastAsia="仿宋_GB2312" w:cs="Times New Roman"/>
          <w:b w:val="0"/>
          <w:bCs w:val="0"/>
          <w:color w:val="auto"/>
          <w:kern w:val="2"/>
          <w:sz w:val="32"/>
          <w:szCs w:val="32"/>
          <w:highlight w:val="none"/>
          <w:u w:val="none"/>
          <w:lang w:val="en-US" w:eastAsia="zh-CN" w:bidi="ar-SA"/>
        </w:rPr>
        <w:t>坚持引育并举，人才结构持续优化，专任教师占教职工比例和专任教师中博士学历人数比例均达60%，圆满完成“十四五”队伍建设目标。</w:t>
      </w:r>
    </w:p>
    <w:p w14:paraId="34F070D6">
      <w:pPr>
        <w:keepNext w:val="0"/>
        <w:keepLines w:val="0"/>
        <w:pageBreakBefore w:val="0"/>
        <w:widowControl w:val="0"/>
        <w:kinsoku/>
        <w:wordWrap/>
        <w:topLinePunct w:val="0"/>
        <w:autoSpaceDE/>
        <w:autoSpaceDN/>
        <w:bidi w:val="0"/>
        <w:spacing w:line="600" w:lineRule="exact"/>
        <w:ind w:leftChars="0" w:firstLine="643"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Times New Roman" w:hAnsi="Times New Roman" w:eastAsia="仿宋_GB2312" w:cs="Times New Roman"/>
          <w:b/>
          <w:bCs/>
          <w:color w:val="auto"/>
          <w:kern w:val="2"/>
          <w:sz w:val="32"/>
          <w:szCs w:val="32"/>
          <w:u w:val="none"/>
          <w:lang w:val="en-US" w:eastAsia="zh-CN" w:bidi="ar-SA"/>
        </w:rPr>
        <w:t>队伍发展活力持续迸发。</w:t>
      </w:r>
      <w:r>
        <w:rPr>
          <w:rFonts w:hint="eastAsia" w:ascii="Times New Roman" w:hAnsi="Times New Roman" w:eastAsia="仿宋_GB2312" w:cs="Times New Roman"/>
          <w:b w:val="0"/>
          <w:bCs w:val="0"/>
          <w:color w:val="auto"/>
          <w:kern w:val="2"/>
          <w:sz w:val="32"/>
          <w:szCs w:val="32"/>
          <w:u w:val="none"/>
          <w:lang w:val="en-US" w:eastAsia="zh-CN" w:bidi="ar-SA"/>
        </w:rPr>
        <w:t>优化专业技术职务评聘机制，畅通教职工发展通道，完成374名教师及专业技术人员职务评聘与岗级晋升。完善绩效分配制度，</w:t>
      </w:r>
      <w:r>
        <w:rPr>
          <w:rFonts w:hint="eastAsia" w:ascii="Times New Roman" w:hAnsi="Times New Roman" w:eastAsia="仿宋_GB2312" w:cs="Times New Roman"/>
          <w:b w:val="0"/>
          <w:bCs w:val="0"/>
          <w:color w:val="auto"/>
          <w:kern w:val="2"/>
          <w:sz w:val="32"/>
          <w:szCs w:val="32"/>
          <w:highlight w:val="none"/>
          <w:u w:val="none"/>
          <w:lang w:val="en-US" w:eastAsia="zh-CN" w:bidi="ar-SA"/>
        </w:rPr>
        <w:t>强化考核激励</w:t>
      </w:r>
      <w:r>
        <w:rPr>
          <w:rFonts w:hint="eastAsia" w:ascii="Times New Roman" w:hAnsi="Times New Roman" w:eastAsia="仿宋_GB2312" w:cs="Times New Roman"/>
          <w:b w:val="0"/>
          <w:bCs w:val="0"/>
          <w:color w:val="auto"/>
          <w:kern w:val="2"/>
          <w:sz w:val="32"/>
          <w:szCs w:val="32"/>
          <w:u w:val="none"/>
          <w:lang w:val="en-US" w:eastAsia="zh-CN" w:bidi="ar-SA"/>
        </w:rPr>
        <w:t>，出台奖励性绩效分配实施办法，高标准完成市属高校分类考核，绩效工资总额稳步提升，</w:t>
      </w:r>
      <w:r>
        <w:rPr>
          <w:rFonts w:hint="eastAsia" w:ascii="Times New Roman" w:hAnsi="Times New Roman" w:eastAsia="仿宋_GB2312" w:cs="Times New Roman"/>
          <w:b w:val="0"/>
          <w:bCs w:val="0"/>
          <w:color w:val="auto"/>
          <w:kern w:val="2"/>
          <w:sz w:val="32"/>
          <w:szCs w:val="32"/>
          <w:highlight w:val="none"/>
          <w:u w:val="none"/>
          <w:lang w:val="en-US" w:eastAsia="zh-CN" w:bidi="ar-SA"/>
        </w:rPr>
        <w:t>有效激发了教职工的积极性和创造性。</w:t>
      </w:r>
    </w:p>
    <w:p w14:paraId="009315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楷体_GB2312" w:hAnsi="楷体_GB2312" w:eastAsia="楷体_GB2312" w:cs="楷体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（五）深化内涵建设，学院高质量发展基础更加坚实</w:t>
      </w:r>
    </w:p>
    <w:p w14:paraId="321B8EA6">
      <w:pPr>
        <w:keepNext w:val="0"/>
        <w:keepLines w:val="0"/>
        <w:pageBreakBefore w:val="0"/>
        <w:widowControl w:val="0"/>
        <w:kinsoku/>
        <w:wordWrap/>
        <w:overflowPunct/>
        <w:topLinePunct w:val="0"/>
        <w:autoSpaceDE/>
        <w:autoSpaceDN/>
        <w:bidi w:val="0"/>
        <w:adjustRightInd/>
        <w:snapToGrid/>
        <w:spacing w:after="0" w:line="600" w:lineRule="exact"/>
        <w:ind w:leftChars="0" w:firstLine="643" w:firstLineChars="200"/>
        <w:jc w:val="both"/>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内部治理体系持续完善。</w:t>
      </w:r>
      <w:r>
        <w:rPr>
          <w:rFonts w:hint="eastAsia" w:ascii="Times New Roman" w:hAnsi="Times New Roman" w:eastAsia="仿宋_GB2312" w:cs="Times New Roman"/>
          <w:color w:val="auto"/>
          <w:kern w:val="2"/>
          <w:sz w:val="32"/>
          <w:szCs w:val="32"/>
          <w:u w:val="none"/>
          <w:lang w:val="en-US" w:eastAsia="zh-CN" w:bidi="ar-SA"/>
        </w:rPr>
        <w:t>调整优化北京教育学院全面深化改革领导小组及专项工作组，建立健全17个议事协调机构，逐步构建起系统完备</w:t>
      </w:r>
      <w:r>
        <w:rPr>
          <w:rFonts w:hint="eastAsia" w:ascii="仿宋_GB2312" w:hAnsi="仿宋_GB2312" w:eastAsia="仿宋_GB2312" w:cs="仿宋_GB2312"/>
          <w:kern w:val="2"/>
          <w:sz w:val="32"/>
          <w:szCs w:val="32"/>
          <w:u w:val="none"/>
          <w:lang w:val="en-US" w:eastAsia="zh-CN" w:bidi="ar-SA"/>
        </w:rPr>
        <w:t>、科学规范、运行高效的组织体系与管理机制。</w:t>
      </w:r>
      <w:r>
        <w:rPr>
          <w:rFonts w:hint="eastAsia" w:ascii="Times New Roman" w:hAnsi="Times New Roman" w:eastAsia="仿宋_GB2312" w:cs="Times New Roman"/>
          <w:color w:val="auto"/>
          <w:kern w:val="2"/>
          <w:sz w:val="32"/>
          <w:szCs w:val="32"/>
          <w:u w:val="none"/>
          <w:lang w:val="en-US" w:eastAsia="zh-CN" w:bidi="ar-SA"/>
        </w:rPr>
        <w:t>完善以学院章程、“三重一大”集体决策制度等</w:t>
      </w:r>
      <w:r>
        <w:rPr>
          <w:rFonts w:hint="eastAsia" w:ascii="Times New Roman" w:hAnsi="Times New Roman" w:eastAsia="仿宋_GB2312" w:cs="Times New Roman"/>
          <w:color w:val="auto"/>
          <w:kern w:val="2"/>
          <w:sz w:val="32"/>
          <w:szCs w:val="32"/>
          <w:u w:val="none"/>
          <w:lang w:val="en-US" w:eastAsia="zh-Hans" w:bidi="ar-SA"/>
        </w:rPr>
        <w:t>为</w:t>
      </w:r>
      <w:r>
        <w:rPr>
          <w:rFonts w:hint="eastAsia" w:ascii="Times New Roman" w:hAnsi="Times New Roman" w:eastAsia="仿宋_GB2312" w:cs="Times New Roman"/>
          <w:color w:val="auto"/>
          <w:kern w:val="2"/>
          <w:sz w:val="32"/>
          <w:szCs w:val="32"/>
          <w:u w:val="none"/>
          <w:lang w:val="en-US" w:eastAsia="zh-CN" w:bidi="ar-SA"/>
        </w:rPr>
        <w:t>基础的制度体系</w:t>
      </w:r>
      <w:r>
        <w:rPr>
          <w:rFonts w:hint="eastAsia" w:ascii="Times New Roman" w:hAnsi="Times New Roman" w:eastAsia="仿宋_GB2312" w:cs="Times New Roman"/>
          <w:color w:val="auto"/>
          <w:kern w:val="2"/>
          <w:sz w:val="32"/>
          <w:szCs w:val="32"/>
          <w:u w:val="none"/>
          <w:lang w:val="en-US" w:eastAsia="zh-Hans" w:bidi="ar-SA"/>
        </w:rPr>
        <w:t>，</w:t>
      </w:r>
      <w:r>
        <w:rPr>
          <w:rFonts w:hint="eastAsia" w:ascii="Times New Roman" w:hAnsi="Times New Roman" w:eastAsia="仿宋_GB2312" w:cs="Times New Roman"/>
          <w:color w:val="auto"/>
          <w:kern w:val="2"/>
          <w:sz w:val="32"/>
          <w:szCs w:val="32"/>
          <w:highlight w:val="none"/>
          <w:u w:val="none"/>
          <w:lang w:val="en-US" w:eastAsia="zh-CN" w:bidi="ar-SA"/>
        </w:rPr>
        <w:t>稳步开展规章制度的“废改立释”工作，</w:t>
      </w:r>
      <w:r>
        <w:rPr>
          <w:rFonts w:hint="eastAsia" w:ascii="Times New Roman" w:hAnsi="Times New Roman" w:eastAsia="仿宋_GB2312" w:cs="Times New Roman"/>
          <w:color w:val="auto"/>
          <w:kern w:val="2"/>
          <w:sz w:val="32"/>
          <w:szCs w:val="32"/>
          <w:u w:val="none"/>
          <w:lang w:val="en-US" w:eastAsia="zh-CN" w:bidi="ar-SA"/>
        </w:rPr>
        <w:t>提升依法治校水平。加大信息公开力度，坚持学院领导接待日制度，开通院长信箱和咨询电话，</w:t>
      </w:r>
      <w:r>
        <w:rPr>
          <w:rFonts w:hint="eastAsia" w:ascii="Times New Roman" w:hAnsi="Times New Roman" w:eastAsia="仿宋_GB2312" w:cs="Times New Roman"/>
          <w:color w:val="auto"/>
          <w:kern w:val="2"/>
          <w:sz w:val="32"/>
          <w:szCs w:val="32"/>
          <w:highlight w:val="none"/>
          <w:u w:val="none"/>
          <w:lang w:val="en-US" w:eastAsia="zh-CN" w:bidi="ar-SA"/>
        </w:rPr>
        <w:t>畅通民主沟通渠道。</w:t>
      </w:r>
      <w:r>
        <w:rPr>
          <w:rFonts w:hint="eastAsia" w:ascii="Times New Roman" w:hAnsi="Times New Roman" w:eastAsia="仿宋_GB2312" w:cs="Times New Roman"/>
          <w:color w:val="auto"/>
          <w:kern w:val="2"/>
          <w:sz w:val="32"/>
          <w:szCs w:val="32"/>
          <w:u w:val="none"/>
          <w:lang w:val="en-US" w:eastAsia="zh-CN" w:bidi="ar-SA"/>
        </w:rPr>
        <w:t>优化“接诉即办”工作机制，累计受理“12345”市民热线93件，响应率、解决率、满意率均为100%，获北京市教育政务服务中心肯定。</w:t>
      </w:r>
    </w:p>
    <w:p w14:paraId="5AB48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培训质量建设持续加强。</w:t>
      </w:r>
      <w:r>
        <w:rPr>
          <w:rFonts w:hint="default" w:ascii="Times New Roman" w:hAnsi="Times New Roman" w:eastAsia="仿宋_GB2312" w:cs="Times New Roman"/>
          <w:color w:val="auto"/>
          <w:kern w:val="2"/>
          <w:sz w:val="32"/>
          <w:szCs w:val="32"/>
          <w:u w:val="none"/>
          <w:lang w:val="en-US" w:eastAsia="zh-CN" w:bidi="ar-SA"/>
        </w:rPr>
        <w:t>成立教学委员会，常态化开展</w:t>
      </w:r>
      <w:r>
        <w:rPr>
          <w:rFonts w:hint="eastAsia" w:ascii="Times New Roman" w:hAnsi="Times New Roman" w:eastAsia="仿宋_GB2312" w:cs="Times New Roman"/>
          <w:color w:val="auto"/>
          <w:kern w:val="2"/>
          <w:sz w:val="32"/>
          <w:szCs w:val="32"/>
          <w:highlight w:val="none"/>
          <w:u w:val="none"/>
          <w:lang w:val="en-US" w:eastAsia="zh-CN" w:bidi="ar-SA"/>
        </w:rPr>
        <w:t>教学督导</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培训规范化建设取得积极进展</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完善教学质量评价体系，两次优化</w:t>
      </w:r>
      <w:r>
        <w:rPr>
          <w:rFonts w:hint="default" w:ascii="Times New Roman" w:hAnsi="Times New Roman" w:eastAsia="仿宋_GB2312" w:cs="Times New Roman"/>
          <w:color w:val="auto"/>
          <w:kern w:val="2"/>
          <w:sz w:val="32"/>
          <w:szCs w:val="32"/>
          <w:u w:val="none"/>
          <w:lang w:val="en-US" w:eastAsia="zh-CN" w:bidi="ar-SA"/>
        </w:rPr>
        <w:t>教学工作量统计办法。</w:t>
      </w:r>
      <w:r>
        <w:rPr>
          <w:rFonts w:hint="eastAsia" w:ascii="Times New Roman" w:hAnsi="Times New Roman" w:eastAsia="仿宋_GB2312" w:cs="Times New Roman"/>
          <w:color w:val="auto"/>
          <w:kern w:val="2"/>
          <w:sz w:val="32"/>
          <w:szCs w:val="32"/>
          <w:u w:val="none"/>
          <w:lang w:val="en-US" w:eastAsia="zh-CN" w:bidi="ar-SA"/>
        </w:rPr>
        <w:t>加强</w:t>
      </w:r>
      <w:r>
        <w:rPr>
          <w:rFonts w:hint="eastAsia" w:ascii="Times New Roman" w:hAnsi="Times New Roman" w:eastAsia="仿宋_GB2312" w:cs="Times New Roman"/>
          <w:color w:val="auto"/>
          <w:kern w:val="2"/>
          <w:sz w:val="32"/>
          <w:szCs w:val="32"/>
          <w:highlight w:val="none"/>
          <w:u w:val="none"/>
          <w:lang w:val="en-US" w:eastAsia="zh-CN" w:bidi="ar-SA"/>
        </w:rPr>
        <w:t>品牌建设</w:t>
      </w:r>
      <w:r>
        <w:rPr>
          <w:rFonts w:hint="eastAsia"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累计评选“一师一优课”99门。</w:t>
      </w:r>
      <w:r>
        <w:rPr>
          <w:rFonts w:hint="default" w:ascii="Times New Roman" w:hAnsi="Times New Roman" w:eastAsia="仿宋_GB2312" w:cs="Times New Roman"/>
          <w:color w:val="auto"/>
          <w:kern w:val="2"/>
          <w:sz w:val="32"/>
          <w:szCs w:val="32"/>
          <w:u w:val="none"/>
          <w:lang w:val="en-US" w:eastAsia="zh-CN" w:bidi="ar-SA"/>
        </w:rPr>
        <w:t>聚焦首都基础教育改革热点难点，推出《新时代高质量教师培训研究丛书》《站稳讲台：新手教师教学能力修炼》</w:t>
      </w:r>
      <w:r>
        <w:rPr>
          <w:rFonts w:hint="eastAsia" w:ascii="Times New Roman" w:hAnsi="Times New Roman" w:eastAsia="仿宋_GB2312" w:cs="Times New Roman"/>
          <w:color w:val="auto"/>
          <w:kern w:val="2"/>
          <w:sz w:val="32"/>
          <w:szCs w:val="32"/>
          <w:u w:val="none"/>
          <w:lang w:val="en-US" w:eastAsia="zh-CN" w:bidi="ar-SA"/>
        </w:rPr>
        <w:t>等系列专著。</w:t>
      </w:r>
    </w:p>
    <w:p w14:paraId="550C3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校园文化建设不断丰富。</w:t>
      </w:r>
      <w:r>
        <w:rPr>
          <w:rFonts w:hint="eastAsia" w:ascii="Times New Roman" w:hAnsi="Times New Roman" w:eastAsia="仿宋_GB2312" w:cs="Times New Roman"/>
          <w:b w:val="0"/>
          <w:bCs w:val="0"/>
          <w:color w:val="auto"/>
          <w:kern w:val="2"/>
          <w:sz w:val="32"/>
          <w:szCs w:val="32"/>
          <w:u w:val="none"/>
          <w:lang w:val="en-US" w:eastAsia="zh-CN" w:bidi="ar-SA"/>
        </w:rPr>
        <w:t>以“躬耕教师培训七十载，奋进教育强国新征程”为主题，成功举办庆祝建院70周年系列活动，获人民教育家于漪先生题词勉励，</w:t>
      </w:r>
      <w:r>
        <w:rPr>
          <w:rFonts w:hint="eastAsia" w:ascii="Times New Roman" w:hAnsi="Times New Roman" w:eastAsia="仿宋_GB2312" w:cs="Times New Roman"/>
          <w:b w:val="0"/>
          <w:bCs w:val="0"/>
          <w:color w:val="auto"/>
          <w:kern w:val="2"/>
          <w:sz w:val="32"/>
          <w:szCs w:val="32"/>
          <w:highlight w:val="none"/>
          <w:u w:val="none"/>
          <w:lang w:val="en-US" w:eastAsia="zh-CN" w:bidi="ar-SA"/>
        </w:rPr>
        <w:t>策划编撰《院志2013-2023》</w:t>
      </w:r>
      <w:r>
        <w:rPr>
          <w:rFonts w:hint="eastAsia" w:ascii="Times New Roman" w:hAnsi="Times New Roman" w:eastAsia="仿宋_GB2312" w:cs="Times New Roman"/>
          <w:b w:val="0"/>
          <w:bCs w:val="0"/>
          <w:color w:val="auto"/>
          <w:kern w:val="2"/>
          <w:sz w:val="32"/>
          <w:szCs w:val="32"/>
          <w:u w:val="none"/>
          <w:lang w:val="en-US" w:eastAsia="zh-CN" w:bidi="ar-SA"/>
        </w:rPr>
        <w:t>。</w:t>
      </w:r>
      <w:r>
        <w:rPr>
          <w:rFonts w:hint="eastAsia" w:ascii="Times New Roman" w:hAnsi="Times New Roman" w:eastAsia="仿宋_GB2312" w:cs="Times New Roman"/>
          <w:b w:val="0"/>
          <w:bCs w:val="0"/>
          <w:color w:val="auto"/>
          <w:kern w:val="2"/>
          <w:sz w:val="32"/>
          <w:szCs w:val="32"/>
          <w:highlight w:val="none"/>
          <w:u w:val="none"/>
          <w:lang w:val="en-US" w:eastAsia="zh-CN" w:bidi="ar-SA"/>
        </w:rPr>
        <w:t>强化新闻宣传工作，</w:t>
      </w:r>
      <w:r>
        <w:rPr>
          <w:rFonts w:hint="eastAsia" w:ascii="Times New Roman" w:hAnsi="Times New Roman" w:eastAsia="仿宋_GB2312" w:cs="Times New Roman"/>
          <w:b w:val="0"/>
          <w:bCs w:val="0"/>
          <w:color w:val="auto"/>
          <w:kern w:val="2"/>
          <w:sz w:val="32"/>
          <w:szCs w:val="32"/>
          <w:u w:val="none"/>
          <w:lang w:val="en-US" w:eastAsia="zh-CN" w:bidi="ar-SA"/>
        </w:rPr>
        <w:t>构建以学院网站、微信公众号、企业微信号、宣传橱窗为主体的宣传平台矩阵，开通学院官方视频号，共同讲好学院故事。围绕全民国家安全教育日、国家宪法日等开展主题宣传，强化教职工思想浸润。广泛征集意见建议，设计并发布院庆标识，精心制作宣传片《躬耕育桃李 首善铸师魂》，举办“我们这十年——学院发展成就展”，生动展现办学历程与育人成果。</w:t>
      </w:r>
      <w:r>
        <w:rPr>
          <w:rFonts w:hint="eastAsia" w:ascii="Times New Roman" w:hAnsi="Times New Roman" w:eastAsia="仿宋_GB2312" w:cs="Times New Roman"/>
          <w:b w:val="0"/>
          <w:bCs w:val="0"/>
          <w:color w:val="auto"/>
          <w:kern w:val="2"/>
          <w:sz w:val="32"/>
          <w:szCs w:val="32"/>
          <w:highlight w:val="none"/>
          <w:u w:val="none"/>
          <w:lang w:val="en-US" w:eastAsia="zh-CN" w:bidi="ar-SA"/>
        </w:rPr>
        <w:t>依托社团活动、文体赛事和校园文化设施建设，营造浓厚的团结奋进、充满活力的校园文化氛围。</w:t>
      </w:r>
    </w:p>
    <w:p w14:paraId="42471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default" w:ascii="Times New Roman" w:hAnsi="Times New Roman" w:eastAsia="仿宋_GB2312" w:cs="Times New Roman"/>
          <w:b/>
          <w:bCs/>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（六）强化综合服务保障，发展环境持续优化</w:t>
      </w:r>
    </w:p>
    <w:p w14:paraId="2DC21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b/>
          <w:bCs/>
          <w:color w:val="auto"/>
          <w:kern w:val="2"/>
          <w:sz w:val="32"/>
          <w:szCs w:val="32"/>
          <w:u w:val="none"/>
          <w:lang w:val="en-US" w:eastAsia="zh-CN" w:bidi="ar-SA"/>
        </w:rPr>
        <w:t>信息化建设提质升级。</w:t>
      </w:r>
      <w:r>
        <w:rPr>
          <w:rFonts w:hint="eastAsia" w:ascii="Times New Roman" w:hAnsi="Times New Roman" w:eastAsia="仿宋_GB2312" w:cs="Times New Roman"/>
          <w:b w:val="0"/>
          <w:bCs w:val="0"/>
          <w:color w:val="auto"/>
          <w:kern w:val="2"/>
          <w:sz w:val="32"/>
          <w:szCs w:val="32"/>
          <w:u w:val="none"/>
          <w:lang w:val="en-US" w:eastAsia="zh-CN" w:bidi="ar-SA"/>
        </w:rPr>
        <w:t>整合</w:t>
      </w:r>
      <w:r>
        <w:rPr>
          <w:rFonts w:hint="eastAsia" w:ascii="Times New Roman" w:hAnsi="Times New Roman" w:eastAsia="仿宋_GB2312" w:cs="Times New Roman"/>
          <w:color w:val="000000"/>
          <w:kern w:val="2"/>
          <w:sz w:val="32"/>
          <w:szCs w:val="32"/>
          <w:u w:val="none"/>
          <w:lang w:val="en-US" w:eastAsia="zh-CN" w:bidi="ar-SA"/>
        </w:rPr>
        <w:t>继教与学历系统，建设统一的教学管理平台，实现教务数据互联互通。建成科研创新服务平台，实现科研项目全流程线上管理，提升科研服务效率。推进智慧图书馆建设，新增文献信息资源数据库11项。依托企业微信优化管理流程，实现审批事项移动办理，提升管理服务便捷性。</w:t>
      </w:r>
      <w:r>
        <w:rPr>
          <w:rFonts w:hint="eastAsia" w:ascii="Times New Roman" w:hAnsi="Times New Roman" w:eastAsia="仿宋_GB2312" w:cs="Times New Roman"/>
          <w:color w:val="000000"/>
          <w:kern w:val="2"/>
          <w:sz w:val="32"/>
          <w:szCs w:val="32"/>
          <w:highlight w:val="none"/>
          <w:u w:val="none"/>
          <w:lang w:val="en-US" w:eastAsia="zh-CN" w:bidi="ar-SA"/>
        </w:rPr>
        <w:t>建成服务保障“一码通”系统，便利教职工和培训学员入校就餐。</w:t>
      </w:r>
      <w:r>
        <w:rPr>
          <w:rFonts w:hint="eastAsia" w:ascii="Times New Roman" w:hAnsi="Times New Roman" w:eastAsia="仿宋_GB2312" w:cs="Times New Roman"/>
          <w:color w:val="000000"/>
          <w:kern w:val="2"/>
          <w:sz w:val="32"/>
          <w:szCs w:val="32"/>
          <w:u w:val="none"/>
          <w:lang w:val="en-US" w:eastAsia="zh-CN" w:bidi="ar-SA"/>
        </w:rPr>
        <w:t>上线工资条推送查询功能，启动线上财务报销系统建设。</w:t>
      </w:r>
      <w:r>
        <w:rPr>
          <w:rFonts w:hint="default" w:ascii="Times New Roman" w:hAnsi="Times New Roman" w:eastAsia="仿宋_GB2312" w:cs="Times New Roman"/>
          <w:color w:val="auto"/>
          <w:sz w:val="32"/>
          <w:szCs w:val="32"/>
          <w:u w:val="none"/>
        </w:rPr>
        <w:t>持续改进校园基础网络环境</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sz w:val="32"/>
          <w:szCs w:val="32"/>
          <w:u w:val="none"/>
        </w:rPr>
        <w:t>推动软件正版化</w:t>
      </w:r>
      <w:r>
        <w:rPr>
          <w:rFonts w:hint="eastAsia" w:ascii="Times New Roman" w:hAnsi="Times New Roman" w:eastAsia="仿宋_GB2312" w:cs="Times New Roman"/>
          <w:sz w:val="32"/>
          <w:szCs w:val="32"/>
          <w:u w:val="none"/>
          <w:lang w:val="en-US" w:eastAsia="zh-CN"/>
        </w:rPr>
        <w:t>和国产化</w:t>
      </w:r>
      <w:r>
        <w:rPr>
          <w:rFonts w:hint="eastAsia" w:ascii="Times New Roman" w:hAnsi="Times New Roman" w:eastAsia="仿宋_GB2312" w:cs="Times New Roman"/>
          <w:sz w:val="32"/>
          <w:szCs w:val="32"/>
          <w:u w:val="none"/>
        </w:rPr>
        <w:t>工作</w:t>
      </w:r>
      <w:r>
        <w:rPr>
          <w:rFonts w:hint="eastAsia" w:ascii="Times New Roman" w:hAnsi="Times New Roman" w:eastAsia="仿宋_GB2312" w:cs="Times New Roman"/>
          <w:sz w:val="32"/>
          <w:szCs w:val="32"/>
          <w:u w:val="none"/>
          <w:lang w:eastAsia="zh-CN"/>
        </w:rPr>
        <w:t>，提升网络安全保障能力。</w:t>
      </w:r>
    </w:p>
    <w:p w14:paraId="70432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bCs/>
          <w:color w:val="auto"/>
          <w:kern w:val="2"/>
          <w:sz w:val="32"/>
          <w:szCs w:val="32"/>
          <w:u w:val="none"/>
          <w:lang w:val="en-US" w:eastAsia="zh-CN" w:bidi="ar-SA"/>
        </w:rPr>
        <w:t>财务管理规范有序</w:t>
      </w:r>
      <w:r>
        <w:rPr>
          <w:rFonts w:hint="eastAsia" w:ascii="Times New Roman" w:hAnsi="Times New Roman" w:eastAsia="仿宋_GB2312" w:cs="Times New Roman"/>
          <w:color w:val="000000"/>
          <w:kern w:val="2"/>
          <w:sz w:val="32"/>
          <w:szCs w:val="32"/>
          <w:u w:val="none"/>
          <w:lang w:val="en-US" w:eastAsia="zh-CN" w:bidi="ar-SA"/>
        </w:rPr>
        <w:t>。加大资金筹措与统筹力度，优化支出结构，预算执行率持续提高。完善财务资产管理制度，</w:t>
      </w:r>
      <w:r>
        <w:rPr>
          <w:rFonts w:hint="eastAsia" w:ascii="Times New Roman" w:hAnsi="Times New Roman" w:eastAsia="仿宋_GB2312" w:cs="Times New Roman"/>
          <w:color w:val="000000"/>
          <w:kern w:val="2"/>
          <w:sz w:val="32"/>
          <w:szCs w:val="32"/>
          <w:highlight w:val="none"/>
          <w:u w:val="none"/>
          <w:lang w:val="en-US" w:eastAsia="zh-CN" w:bidi="ar-SA"/>
        </w:rPr>
        <w:t>发布学院内部控制管理手册，</w:t>
      </w:r>
      <w:r>
        <w:rPr>
          <w:rFonts w:hint="eastAsia" w:ascii="Times New Roman" w:hAnsi="Times New Roman" w:eastAsia="仿宋_GB2312" w:cs="Times New Roman"/>
          <w:color w:val="000000"/>
          <w:kern w:val="2"/>
          <w:sz w:val="32"/>
          <w:szCs w:val="32"/>
          <w:u w:val="none"/>
          <w:lang w:val="en-US" w:eastAsia="zh-CN" w:bidi="ar-SA"/>
        </w:rPr>
        <w:t>规范采购招标程序，</w:t>
      </w:r>
      <w:r>
        <w:rPr>
          <w:rFonts w:hint="eastAsia" w:ascii="Times New Roman" w:hAnsi="Times New Roman" w:eastAsia="仿宋_GB2312" w:cs="Times New Roman"/>
          <w:sz w:val="32"/>
          <w:szCs w:val="32"/>
          <w:u w:val="none"/>
          <w:lang w:val="en-US" w:eastAsia="zh-CN"/>
        </w:rPr>
        <w:t>完善合同管理流程，开展财务预算执行与决算审计，有效防范经济责任风险。</w:t>
      </w:r>
      <w:r>
        <w:rPr>
          <w:rFonts w:hint="eastAsia" w:ascii="Times New Roman" w:hAnsi="Times New Roman" w:eastAsia="仿宋_GB2312" w:cs="Times New Roman"/>
          <w:color w:val="000000"/>
          <w:kern w:val="2"/>
          <w:sz w:val="32"/>
          <w:szCs w:val="32"/>
          <w:u w:val="none"/>
          <w:lang w:val="en-US" w:eastAsia="zh-CN" w:bidi="ar-SA"/>
        </w:rPr>
        <w:t>持续做好</w:t>
      </w:r>
      <w:r>
        <w:rPr>
          <w:rFonts w:hint="eastAsia" w:ascii="Times New Roman" w:hAnsi="Times New Roman" w:eastAsia="仿宋_GB2312" w:cs="Times New Roman"/>
          <w:sz w:val="32"/>
          <w:szCs w:val="32"/>
          <w:u w:val="none"/>
          <w:lang w:val="en-US" w:eastAsia="zh-CN"/>
        </w:rPr>
        <w:t>房屋管理、资产清查与报废工作，</w:t>
      </w:r>
      <w:r>
        <w:rPr>
          <w:rFonts w:hint="eastAsia" w:ascii="Times New Roman" w:hAnsi="Times New Roman" w:eastAsia="仿宋_GB2312" w:cs="Times New Roman"/>
          <w:color w:val="000000"/>
          <w:kern w:val="2"/>
          <w:sz w:val="32"/>
          <w:szCs w:val="32"/>
          <w:u w:val="none"/>
          <w:lang w:val="en-US" w:eastAsia="zh-CN" w:bidi="ar-SA"/>
        </w:rPr>
        <w:t>衙门口校区置换、7家下属企业关停注销等历史遗留问题</w:t>
      </w:r>
      <w:r>
        <w:rPr>
          <w:rFonts w:hint="eastAsia" w:ascii="Times New Roman" w:hAnsi="Times New Roman" w:eastAsia="仿宋_GB2312" w:cs="Times New Roman"/>
          <w:color w:val="000000"/>
          <w:kern w:val="2"/>
          <w:sz w:val="32"/>
          <w:szCs w:val="32"/>
          <w:highlight w:val="none"/>
          <w:u w:val="none"/>
          <w:lang w:val="en-US" w:eastAsia="zh-CN" w:bidi="ar-SA"/>
        </w:rPr>
        <w:t>得到圆满解决，</w:t>
      </w:r>
      <w:r>
        <w:rPr>
          <w:rFonts w:hint="eastAsia" w:ascii="Times New Roman" w:hAnsi="Times New Roman" w:eastAsia="仿宋_GB2312" w:cs="Times New Roman"/>
          <w:sz w:val="32"/>
          <w:szCs w:val="32"/>
          <w:u w:val="none"/>
          <w:lang w:val="en-US" w:eastAsia="zh-CN"/>
        </w:rPr>
        <w:t>资产管理效能有效提升。</w:t>
      </w:r>
    </w:p>
    <w:p w14:paraId="2720E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校园环境持续改善。</w:t>
      </w:r>
      <w:r>
        <w:rPr>
          <w:rFonts w:hint="eastAsia" w:ascii="Times New Roman" w:hAnsi="Times New Roman" w:eastAsia="仿宋_GB2312" w:cs="Times New Roman"/>
          <w:color w:val="auto"/>
          <w:kern w:val="2"/>
          <w:sz w:val="32"/>
          <w:szCs w:val="32"/>
          <w:u w:val="none"/>
          <w:lang w:val="en-US" w:eastAsia="zh-CN" w:bidi="ar-SA"/>
        </w:rPr>
        <w:t>实施“校园育人环境优化行动”，完成黄寺校区综合楼、配楼，中轴路校区教学楼外墙和北京市教师发展中心办公环境等综合改造工作，共计涉及改造面积11877平方米，资金投入1608.37万元。建成“母婴关爱室”，实现四个校区电动自行车充电桩全覆盖，推进智慧教室建设与青年教师公寓改造，着力提升教职工办公生活条件。强化物业、安保、餐饮服务监管，健全服务质量考核评价机制，推动服务精细化、标准化。</w:t>
      </w:r>
    </w:p>
    <w:p w14:paraId="7E9C1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bCs/>
          <w:color w:val="auto"/>
          <w:kern w:val="2"/>
          <w:sz w:val="32"/>
          <w:szCs w:val="32"/>
          <w:u w:val="none"/>
          <w:lang w:val="en-US" w:eastAsia="zh-CN" w:bidi="ar-SA"/>
        </w:rPr>
        <w:t>平安校园建设扎实推进</w:t>
      </w:r>
      <w:r>
        <w:rPr>
          <w:rFonts w:hint="eastAsia" w:ascii="Times New Roman" w:hAnsi="Times New Roman" w:eastAsia="仿宋_GB2312" w:cs="Times New Roman"/>
          <w:b/>
          <w:bCs/>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疫情期间严格</w:t>
      </w:r>
      <w:r>
        <w:rPr>
          <w:rFonts w:hint="default" w:ascii="Times New Roman" w:hAnsi="Times New Roman" w:eastAsia="仿宋_GB2312" w:cs="Times New Roman"/>
          <w:color w:val="auto"/>
          <w:kern w:val="2"/>
          <w:sz w:val="32"/>
          <w:szCs w:val="32"/>
          <w:u w:val="none"/>
          <w:lang w:val="en-US" w:eastAsia="zh-CN" w:bidi="ar-SA"/>
        </w:rPr>
        <w:t>落实</w:t>
      </w:r>
      <w:r>
        <w:rPr>
          <w:rFonts w:hint="eastAsia" w:ascii="Times New Roman" w:hAnsi="Times New Roman"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四方责任</w:t>
      </w:r>
      <w:r>
        <w:rPr>
          <w:rFonts w:hint="eastAsia" w:ascii="Times New Roman" w:hAnsi="Times New Roman"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，保障</w:t>
      </w:r>
      <w:r>
        <w:rPr>
          <w:rFonts w:hint="eastAsia" w:ascii="Times New Roman" w:hAnsi="Times New Roman" w:eastAsia="仿宋_GB2312" w:cs="Times New Roman"/>
          <w:color w:val="auto"/>
          <w:kern w:val="2"/>
          <w:sz w:val="32"/>
          <w:szCs w:val="32"/>
          <w:u w:val="none"/>
          <w:lang w:val="en-US" w:eastAsia="zh-CN" w:bidi="ar-SA"/>
        </w:rPr>
        <w:t>教职工</w:t>
      </w:r>
      <w:r>
        <w:rPr>
          <w:rFonts w:hint="default" w:ascii="Times New Roman" w:hAnsi="Times New Roman" w:eastAsia="仿宋_GB2312" w:cs="Times New Roman"/>
          <w:color w:val="auto"/>
          <w:kern w:val="2"/>
          <w:sz w:val="32"/>
          <w:szCs w:val="32"/>
          <w:u w:val="none"/>
          <w:lang w:val="en-US" w:eastAsia="zh-CN" w:bidi="ar-SA"/>
        </w:rPr>
        <w:t>生命健康。健全安全责任体系，加强重要时期</w:t>
      </w:r>
      <w:r>
        <w:rPr>
          <w:rFonts w:hint="eastAsia" w:ascii="Times New Roman" w:hAnsi="Times New Roman" w:eastAsia="仿宋_GB2312" w:cs="Times New Roman"/>
          <w:color w:val="auto"/>
          <w:kern w:val="2"/>
          <w:sz w:val="32"/>
          <w:szCs w:val="32"/>
          <w:u w:val="none"/>
          <w:lang w:val="en-US" w:eastAsia="zh-CN" w:bidi="ar-SA"/>
        </w:rPr>
        <w:t>值班</w:t>
      </w:r>
      <w:r>
        <w:rPr>
          <w:rFonts w:hint="default" w:ascii="Times New Roman" w:hAnsi="Times New Roman" w:eastAsia="仿宋_GB2312" w:cs="Times New Roman"/>
          <w:color w:val="auto"/>
          <w:kern w:val="2"/>
          <w:sz w:val="32"/>
          <w:szCs w:val="32"/>
          <w:u w:val="none"/>
          <w:lang w:val="en-US" w:eastAsia="zh-CN" w:bidi="ar-SA"/>
        </w:rPr>
        <w:t>值守与校园巡逻，开展安全隐患排查整治，</w:t>
      </w:r>
      <w:r>
        <w:rPr>
          <w:rFonts w:hint="default" w:ascii="Times New Roman" w:hAnsi="Times New Roman" w:eastAsia="仿宋_GB2312" w:cs="Times New Roman"/>
          <w:color w:val="auto"/>
          <w:sz w:val="32"/>
          <w:szCs w:val="32"/>
          <w:u w:val="none"/>
          <w:lang w:val="en-US" w:eastAsia="zh-CN"/>
        </w:rPr>
        <w:t>落实房屋安全专项整治工作，</w:t>
      </w:r>
      <w:r>
        <w:rPr>
          <w:rFonts w:hint="default" w:ascii="Times New Roman" w:hAnsi="Times New Roman" w:eastAsia="仿宋_GB2312" w:cs="Times New Roman"/>
          <w:color w:val="auto"/>
          <w:kern w:val="2"/>
          <w:sz w:val="32"/>
          <w:szCs w:val="32"/>
          <w:u w:val="none"/>
          <w:lang w:val="en-US" w:eastAsia="zh-CN" w:bidi="ar-SA"/>
        </w:rPr>
        <w:t>完善应急管理体系，推进技防、物防、人防建设，校园安全稳定防线持续筑牢。</w:t>
      </w:r>
    </w:p>
    <w:p w14:paraId="40F5B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各位代表，老师们，同志们！</w:t>
      </w:r>
    </w:p>
    <w:p w14:paraId="4FD668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过去七年成绩的取得，</w:t>
      </w:r>
      <w:r>
        <w:rPr>
          <w:rFonts w:hint="eastAsia" w:ascii="Times New Roman" w:hAnsi="Times New Roman" w:eastAsia="仿宋_GB2312" w:cs="Times New Roman"/>
          <w:sz w:val="32"/>
          <w:szCs w:val="32"/>
          <w:u w:val="none"/>
        </w:rPr>
        <w:t>离不开</w:t>
      </w:r>
      <w:r>
        <w:rPr>
          <w:rFonts w:hint="eastAsia" w:ascii="Times New Roman" w:hAnsi="Times New Roman" w:eastAsia="仿宋_GB2312" w:cs="Arial"/>
          <w:kern w:val="0"/>
          <w:sz w:val="32"/>
          <w:szCs w:val="32"/>
          <w:u w:val="none"/>
        </w:rPr>
        <w:t>市教育两委的</w:t>
      </w:r>
      <w:r>
        <w:rPr>
          <w:rFonts w:hint="eastAsia" w:ascii="Times New Roman" w:hAnsi="Times New Roman" w:eastAsia="仿宋_GB2312" w:cs="Arial"/>
          <w:kern w:val="0"/>
          <w:sz w:val="32"/>
          <w:szCs w:val="32"/>
          <w:u w:val="none"/>
          <w:lang w:val="en-US" w:eastAsia="zh-CN"/>
        </w:rPr>
        <w:t>关心</w:t>
      </w:r>
      <w:r>
        <w:rPr>
          <w:rFonts w:hint="eastAsia" w:ascii="Times New Roman" w:hAnsi="Times New Roman" w:eastAsia="仿宋_GB2312" w:cs="Arial"/>
          <w:kern w:val="0"/>
          <w:sz w:val="32"/>
          <w:szCs w:val="32"/>
          <w:u w:val="none"/>
        </w:rPr>
        <w:t>指导，</w:t>
      </w:r>
      <w:r>
        <w:rPr>
          <w:rFonts w:hint="eastAsia" w:ascii="Times New Roman" w:hAnsi="Times New Roman" w:eastAsia="仿宋_GB2312" w:cs="Times New Roman"/>
          <w:color w:val="auto"/>
          <w:sz w:val="32"/>
          <w:szCs w:val="32"/>
          <w:u w:val="none"/>
          <w:lang w:val="en-US" w:eastAsia="zh-CN"/>
        </w:rPr>
        <w:t>离不开历届领导班子的接续奋斗，更离不开全院教职工的辛勤付出。在此，我代表学院领导班子，向长期以来关心支持学院事业发展的各位老领导、老同志和全院教职工，致以崇高的敬意和衷心的感谢！</w:t>
      </w:r>
    </w:p>
    <w:p w14:paraId="2C44D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前，学院正处于“十四五”圆满收官与“十五五”谋篇布局的关键阶段。“十五五”时期是我国基本实现社会主义现代化夯实基础、全面发力的关键时期，也是首都教育率先实现高水平教育现代化、基本建成教育强国首善之区的关键时期。面对教育强国首善之区建设带来的新机遇新挑战，学院必须立足职责使命，完整准确全面贯彻新发展理念，自信自强、守正创新，抓住机遇而不能丧失机遇，开拓进取而不能因循守旧，聚焦第四次党代会确立的战略发展目标，大力弘扬教育家精神，全面提升学院服务教育强国首善之区建设的能力与水平。</w:t>
      </w:r>
    </w:p>
    <w:p w14:paraId="7EA7D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但对标新使命新要求，学院发展还存在一些短板与不足。北京教育党校为党育才为党献策的功能有待进一步彰显、高质量教师培训体系尚未完全形成、数智化转型亟待加快推进、高素质专业化干部教师队伍仍需加强、学院治理体系与能力现代化需要向纵深推进。</w:t>
      </w:r>
    </w:p>
    <w:p w14:paraId="278FE3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二、今后工作思路与主要任务</w:t>
      </w:r>
    </w:p>
    <w:p w14:paraId="333A16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站在新的历史起点，学院必须坚持和加强党对教育工作的全面领导，坚持目标导向和问题意识，抢抓战略机遇，以更高站位、更宽视野、更大力度推进改革创新，全面提升服务教育强国首善之区建设的能力与水平。</w:t>
      </w:r>
    </w:p>
    <w:p w14:paraId="4BC290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未来五年学院工作的总体思路是：以习近平新时代中国特色社会主义思想为指导，全面贯彻党的教育方针，聚焦立德树人根本任务，以推动高质量发展为主题、以改革创新为动力，聚焦教师教育主责主业，全面提升服务教育强国首善之区建设的能力与水平。近期重点抓好以下工作：</w:t>
      </w:r>
    </w:p>
    <w:p w14:paraId="19EE1D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3"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一是</w:t>
      </w:r>
      <w:r>
        <w:rPr>
          <w:rFonts w:hint="eastAsia" w:ascii="Times New Roman" w:hAnsi="Times New Roman" w:eastAsia="仿宋_GB2312" w:cs="Times New Roman"/>
          <w:b/>
          <w:bCs/>
          <w:color w:val="auto"/>
          <w:sz w:val="32"/>
          <w:szCs w:val="32"/>
          <w:highlight w:val="none"/>
          <w:u w:val="none"/>
          <w:lang w:val="en-US" w:eastAsia="zh-CN"/>
        </w:rPr>
        <w:t>把牢政治方向</w:t>
      </w:r>
      <w:r>
        <w:rPr>
          <w:rFonts w:hint="default" w:ascii="Times New Roman" w:hAnsi="Times New Roman" w:eastAsia="仿宋_GB2312" w:cs="Times New Roman"/>
          <w:b/>
          <w:bCs/>
          <w:color w:val="auto"/>
          <w:sz w:val="32"/>
          <w:szCs w:val="32"/>
          <w:u w:val="none"/>
          <w:lang w:val="en-US" w:eastAsia="zh-CN"/>
        </w:rPr>
        <w:t>。</w:t>
      </w:r>
      <w:r>
        <w:rPr>
          <w:rFonts w:hint="eastAsia" w:ascii="Times New Roman" w:hAnsi="Times New Roman" w:eastAsia="仿宋_GB2312" w:cs="Times New Roman"/>
          <w:color w:val="auto"/>
          <w:sz w:val="32"/>
          <w:szCs w:val="32"/>
          <w:highlight w:val="none"/>
          <w:u w:val="none"/>
          <w:lang w:val="en-US" w:eastAsia="zh-CN"/>
        </w:rPr>
        <w:t>将学习贯彻党的二十届四中全会精神和中央经济工作会议精神作为</w:t>
      </w:r>
      <w:r>
        <w:rPr>
          <w:rFonts w:hint="default" w:ascii="Times New Roman" w:hAnsi="Times New Roman" w:eastAsia="仿宋_GB2312" w:cs="Times New Roman"/>
          <w:color w:val="auto"/>
          <w:sz w:val="32"/>
          <w:szCs w:val="32"/>
          <w:highlight w:val="none"/>
          <w:u w:val="none"/>
          <w:lang w:val="en-US" w:eastAsia="zh-CN"/>
        </w:rPr>
        <w:t>当前和今后一个时期的重大政治任务</w:t>
      </w:r>
      <w:r>
        <w:rPr>
          <w:rFonts w:hint="default" w:ascii="Times New Roman" w:hAnsi="Times New Roman" w:eastAsia="仿宋_GB2312" w:cs="Times New Roman"/>
          <w:color w:val="auto"/>
          <w:sz w:val="32"/>
          <w:szCs w:val="32"/>
          <w:u w:val="none"/>
          <w:lang w:val="en-US" w:eastAsia="zh-CN"/>
        </w:rPr>
        <w:t>，准确把握</w:t>
      </w:r>
      <w:r>
        <w:rPr>
          <w:rFonts w:hint="eastAsia" w:ascii="Times New Roman" w:hAnsi="Times New Roman" w:eastAsia="仿宋_GB2312" w:cs="Times New Roman"/>
          <w:color w:val="auto"/>
          <w:sz w:val="32"/>
          <w:szCs w:val="32"/>
          <w:u w:val="none"/>
          <w:lang w:val="en-US" w:eastAsia="zh-CN"/>
        </w:rPr>
        <w:t>“十五五”</w:t>
      </w:r>
      <w:r>
        <w:rPr>
          <w:rFonts w:hint="default" w:ascii="Times New Roman" w:hAnsi="Times New Roman" w:eastAsia="仿宋_GB2312" w:cs="Times New Roman"/>
          <w:color w:val="auto"/>
          <w:sz w:val="32"/>
          <w:szCs w:val="32"/>
          <w:u w:val="none"/>
          <w:lang w:val="en-US" w:eastAsia="zh-CN"/>
        </w:rPr>
        <w:t>时期的重要地位、发展形势和战略部署，将学习</w:t>
      </w:r>
      <w:r>
        <w:rPr>
          <w:rFonts w:hint="eastAsia" w:ascii="Times New Roman" w:hAnsi="Times New Roman" w:eastAsia="仿宋_GB2312" w:cs="Times New Roman"/>
          <w:color w:val="auto"/>
          <w:sz w:val="32"/>
          <w:szCs w:val="32"/>
          <w:u w:val="none"/>
          <w:lang w:val="en-US" w:eastAsia="zh-CN"/>
        </w:rPr>
        <w:t>会议</w:t>
      </w:r>
      <w:r>
        <w:rPr>
          <w:rFonts w:hint="default" w:ascii="Times New Roman" w:hAnsi="Times New Roman" w:eastAsia="仿宋_GB2312" w:cs="Times New Roman"/>
          <w:color w:val="auto"/>
          <w:sz w:val="32"/>
          <w:szCs w:val="32"/>
          <w:u w:val="none"/>
          <w:lang w:val="en-US" w:eastAsia="zh-CN"/>
        </w:rPr>
        <w:t>精神与</w:t>
      </w:r>
      <w:r>
        <w:rPr>
          <w:rFonts w:hint="eastAsia" w:ascii="Times New Roman" w:hAnsi="Times New Roman" w:eastAsia="仿宋_GB2312" w:cs="Times New Roman"/>
          <w:color w:val="auto"/>
          <w:sz w:val="32"/>
          <w:szCs w:val="32"/>
          <w:u w:val="none"/>
          <w:lang w:val="en-US" w:eastAsia="zh-CN"/>
        </w:rPr>
        <w:t>学习贯彻习近平总书记</w:t>
      </w:r>
      <w:r>
        <w:rPr>
          <w:rFonts w:hint="default" w:ascii="Times New Roman" w:hAnsi="Times New Roman" w:eastAsia="仿宋_GB2312" w:cs="Times New Roman"/>
          <w:color w:val="auto"/>
          <w:sz w:val="32"/>
          <w:szCs w:val="32"/>
          <w:u w:val="none"/>
          <w:lang w:val="en-US" w:eastAsia="zh-CN"/>
        </w:rPr>
        <w:t>关于教育的重要论述相结合，与落实《教育强国建设规划纲要（2024—2035年）》和北京市教育强国建设三年行动计划相结合，切实把学习成果转化为推动学院高质量发展的实际行动。</w:t>
      </w:r>
    </w:p>
    <w:p w14:paraId="496744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3"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二是科学谋划发展。</w:t>
      </w:r>
      <w:r>
        <w:rPr>
          <w:rFonts w:hint="eastAsia" w:ascii="Times New Roman" w:hAnsi="Times New Roman" w:eastAsia="仿宋_GB2312" w:cs="Times New Roman"/>
          <w:color w:val="auto"/>
          <w:sz w:val="32"/>
          <w:szCs w:val="32"/>
          <w:highlight w:val="none"/>
          <w:u w:val="none"/>
          <w:lang w:val="en-US" w:eastAsia="zh-CN"/>
        </w:rPr>
        <w:t>紧扣首都功能定位和教育发展新要求，深刻把握教育的政治属性、人民属性和战略属性，聚焦高质量发展主题，深入开展调查研究，广泛凝聚智慧，高水平编制学院“十五五”发展规划。确保规划既有前瞻性，又有可操作性，为未来五年发展提供科学指引。</w:t>
      </w:r>
    </w:p>
    <w:p w14:paraId="19FEE4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3"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三是深化改革创新。</w:t>
      </w:r>
      <w:r>
        <w:rPr>
          <w:rFonts w:hint="eastAsia" w:ascii="Times New Roman" w:hAnsi="Times New Roman" w:eastAsia="仿宋_GB2312" w:cs="Times New Roman"/>
          <w:color w:val="auto"/>
          <w:sz w:val="32"/>
          <w:szCs w:val="32"/>
          <w:highlight w:val="none"/>
          <w:u w:val="none"/>
          <w:lang w:val="en-US" w:eastAsia="zh-CN"/>
        </w:rPr>
        <w:t>按照“高端、示范、引领”标准，深化教师教育供给侧结构性改革，弘扬践行教育家精神，进一步优化分层分类分岗培训体系，提升培训精准性、实效性和前瞻性。对接国家教育数字化战略，积极推进人工智能与教育教学深度融合，实现教师培训从经验驱动向数据驱动转变。加强数字化资源建设。深化线上线下混合式研修，促进实体教研空间与数字平台协同发展，塑造首都教师培训新样态。</w:t>
      </w:r>
    </w:p>
    <w:p w14:paraId="267AFE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3"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四是建强人才队伍。</w:t>
      </w:r>
      <w:r>
        <w:rPr>
          <w:rFonts w:hint="eastAsia" w:ascii="Times New Roman" w:hAnsi="Times New Roman" w:eastAsia="仿宋_GB2312" w:cs="Times New Roman"/>
          <w:color w:val="auto"/>
          <w:sz w:val="32"/>
          <w:szCs w:val="32"/>
          <w:highlight w:val="none"/>
          <w:u w:val="none"/>
          <w:lang w:val="en-US" w:eastAsia="zh-CN"/>
        </w:rPr>
        <w:t>坚持人才强院，大力弘扬教育家精神，总结“优教优才”工程经验，完善干部教师全周期发展支持体系。始终将师德师风作为第一标准，健全长效机制。深化人事制度改革，优化职称评聘与绩效考核机制。加大高层次人才引育力度，支持教职工开展高水平国内外学术交流。</w:t>
      </w:r>
    </w:p>
    <w:p w14:paraId="04507D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3"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五是深化有组织科研</w:t>
      </w:r>
      <w:r>
        <w:rPr>
          <w:rFonts w:hint="eastAsia" w:ascii="Times New Roman" w:hAnsi="Times New Roman" w:eastAsia="仿宋_GB2312" w:cs="Times New Roman"/>
          <w:color w:val="auto"/>
          <w:sz w:val="32"/>
          <w:szCs w:val="32"/>
          <w:highlight w:val="none"/>
          <w:u w:val="none"/>
          <w:lang w:val="en-US" w:eastAsia="zh-CN"/>
        </w:rPr>
        <w:t>。强化学科建设规划引领与布局优化，建强学科创新平台，</w:t>
      </w:r>
      <w:r>
        <w:rPr>
          <w:rFonts w:hint="default" w:ascii="Times New Roman" w:hAnsi="Times New Roman" w:eastAsia="仿宋_GB2312" w:cs="Times New Roman"/>
          <w:color w:val="auto"/>
          <w:sz w:val="32"/>
          <w:szCs w:val="32"/>
          <w:highlight w:val="none"/>
          <w:u w:val="none"/>
          <w:lang w:val="en-US" w:eastAsia="zh-CN"/>
        </w:rPr>
        <w:t>构建覆盖教师职后成长全链条的特色学科体系</w:t>
      </w:r>
      <w:r>
        <w:rPr>
          <w:rFonts w:hint="eastAsia" w:ascii="Times New Roman" w:hAnsi="Times New Roman" w:eastAsia="仿宋_GB2312" w:cs="Times New Roman"/>
          <w:color w:val="auto"/>
          <w:sz w:val="32"/>
          <w:szCs w:val="32"/>
          <w:highlight w:val="none"/>
          <w:u w:val="none"/>
          <w:lang w:val="en-US" w:eastAsia="zh-CN"/>
        </w:rPr>
        <w:t>。完善研训一体机制，推动科研与培训深度融合、互促共进。充分发挥博士后科研工作站作用，优化学术梯队建设，</w:t>
      </w:r>
      <w:r>
        <w:rPr>
          <w:rFonts w:hint="default" w:ascii="Times New Roman" w:hAnsi="Times New Roman" w:eastAsia="仿宋_GB2312" w:cs="Times New Roman"/>
          <w:color w:val="auto"/>
          <w:sz w:val="32"/>
          <w:szCs w:val="32"/>
          <w:highlight w:val="none"/>
          <w:u w:val="none"/>
          <w:lang w:val="en-US" w:eastAsia="zh-CN"/>
        </w:rPr>
        <w:t>充分激发教师科研创新内生动力</w:t>
      </w:r>
      <w:r>
        <w:rPr>
          <w:rFonts w:hint="eastAsia" w:ascii="Times New Roman" w:hAnsi="Times New Roman" w:eastAsia="仿宋_GB2312" w:cs="Times New Roman"/>
          <w:color w:val="auto"/>
          <w:sz w:val="32"/>
          <w:szCs w:val="32"/>
          <w:highlight w:val="none"/>
          <w:u w:val="none"/>
          <w:lang w:val="en-US" w:eastAsia="zh-CN"/>
        </w:rPr>
        <w:t>。</w:t>
      </w:r>
    </w:p>
    <w:p w14:paraId="1FC69B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3" w:firstLineChars="20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六是巩固发展基础。</w:t>
      </w:r>
      <w:r>
        <w:rPr>
          <w:rFonts w:hint="eastAsia" w:ascii="Times New Roman" w:hAnsi="Times New Roman" w:eastAsia="仿宋_GB2312" w:cs="Times New Roman"/>
          <w:color w:val="auto"/>
          <w:sz w:val="32"/>
          <w:szCs w:val="32"/>
          <w:highlight w:val="none"/>
          <w:u w:val="none"/>
          <w:lang w:val="en-US" w:eastAsia="zh-CN"/>
        </w:rPr>
        <w:t>深化组织机构改革，健全权责一致、运行顺畅的内部控制体系，以数智化促进内部治理现代化。持续推进“双提升”行动，深化内部激励机制改革，增强教职工获得感与幸福感。拓展教育合作，扩大国际交流，推进校地、校企合作，大力提升学院的专业影响力。争取政策与资金支持，改善办学环境，拓展办学空间，不断增强学院可持续发展能力。</w:t>
      </w:r>
    </w:p>
    <w:p w14:paraId="378616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各位代表、老师们、同志们：</w:t>
      </w:r>
    </w:p>
    <w:p w14:paraId="1B9997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站在新的历史起点，我们使命光荣、责任重大。让我们更加紧密地团结在以习近平同志为核心的党中央周围，以坚如磐石的定力、奋楫争先的闯劲，</w:t>
      </w:r>
      <w:r>
        <w:rPr>
          <w:rFonts w:hint="eastAsia" w:ascii="Times New Roman" w:hAnsi="Times New Roman" w:eastAsia="仿宋_GB2312" w:cs="Times New Roman"/>
          <w:color w:val="auto"/>
          <w:sz w:val="32"/>
          <w:szCs w:val="32"/>
          <w:u w:val="none"/>
          <w:lang w:val="en-US" w:eastAsia="zh-CN"/>
        </w:rPr>
        <w:t>凝心聚力、锐意进取，奋力谱写首都教师教育事业发展新篇章，为首都全面建成教育强国首善之区作出新的、更大贡献！</w:t>
      </w:r>
    </w:p>
    <w:p w14:paraId="4FB48DF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p>
    <w:p w14:paraId="22F5083D">
      <w:pPr>
        <w:rPr>
          <w:rFonts w:eastAsia="仿宋_GB2312"/>
          <w:b w:val="0"/>
          <w:bCs w:val="0"/>
          <w:sz w:val="28"/>
          <w:u w:val="none"/>
        </w:rPr>
      </w:pPr>
    </w:p>
    <w:p w14:paraId="60531147">
      <w:pPr>
        <w:rPr>
          <w:rFonts w:eastAsia="仿宋_GB2312"/>
          <w:b w:val="0"/>
          <w:bCs w:val="0"/>
          <w:sz w:val="28"/>
          <w:u w:val="none"/>
        </w:rPr>
      </w:pPr>
    </w:p>
    <w:p w14:paraId="6BD002EB">
      <w:pPr>
        <w:rPr>
          <w:rFonts w:eastAsia="仿宋_GB2312"/>
          <w:b w:val="0"/>
          <w:bCs w:val="0"/>
          <w:sz w:val="28"/>
          <w:u w:val="none"/>
        </w:rPr>
      </w:pPr>
    </w:p>
    <w:p w14:paraId="58EDD229">
      <w:pPr>
        <w:rPr>
          <w:rFonts w:eastAsia="仿宋_GB2312"/>
          <w:b w:val="0"/>
          <w:bCs w:val="0"/>
          <w:sz w:val="28"/>
          <w:u w:val="none"/>
        </w:rPr>
      </w:pPr>
    </w:p>
    <w:p w14:paraId="68A15E5E">
      <w:pPr>
        <w:spacing w:line="280" w:lineRule="exact"/>
        <w:ind w:firstLine="140" w:firstLineChars="50"/>
        <w:rPr>
          <w:rFonts w:eastAsia="仿宋_GB2312"/>
          <w:b w:val="0"/>
          <w:bCs w:val="0"/>
          <w:sz w:val="28"/>
          <w:u w:val="none"/>
        </w:rPr>
      </w:pPr>
    </w:p>
    <w:p w14:paraId="495CD958">
      <w:pPr>
        <w:spacing w:line="280" w:lineRule="exact"/>
        <w:ind w:firstLine="140" w:firstLineChars="50"/>
        <w:rPr>
          <w:rFonts w:eastAsia="仿宋_GB2312"/>
          <w:b w:val="0"/>
          <w:bCs w:val="0"/>
          <w:sz w:val="28"/>
          <w:u w:val="none"/>
        </w:rPr>
      </w:pPr>
      <w:r>
        <w:rPr>
          <w:rFonts w:eastAsia="仿宋_GB2312"/>
          <w:b w:val="0"/>
          <w:bCs w:val="0"/>
          <w:sz w:val="28"/>
          <w:u w:val="none"/>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57150</wp:posOffset>
                </wp:positionV>
                <wp:extent cx="5524500" cy="635"/>
                <wp:effectExtent l="0" t="6350" r="0" b="12065"/>
                <wp:wrapNone/>
                <wp:docPr id="1" name="直线 4"/>
                <wp:cNvGraphicFramePr/>
                <a:graphic xmlns:a="http://schemas.openxmlformats.org/drawingml/2006/main">
                  <a:graphicData uri="http://schemas.microsoft.com/office/word/2010/wordprocessingShape">
                    <wps:wsp>
                      <wps:cNvCnPr/>
                      <wps:spPr>
                        <a:xfrm flipV="1">
                          <a:off x="0" y="0"/>
                          <a:ext cx="55245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8pt;margin-top:4.5pt;height:0.05pt;width:435pt;z-index:251659264;mso-width-relative:page;mso-height-relative:page;" filled="f" stroked="t" coordsize="21600,21600" o:gfxdata="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85v0F&#10;0gAAAAUBAAAPAAAAAAAAAAEAIAAAACIAAABkcnMvZG93bnJldi54bWxQSwECFAAUAAAACACHTuJA&#10;/ooAou4BAADoAwAADgAAAAAAAAABACAAAAAhAQAAZHJzL2Uyb0RvYy54bWxQSwUGAAAAAAYABgBZ&#10;AQAAgQUAAAAA&#10;">
                <v:fill on="f" focussize="0,0"/>
                <v:stroke weight="1pt" color="#000000" joinstyle="round"/>
                <v:imagedata o:title=""/>
                <o:lock v:ext="edit" aspectratio="f"/>
              </v:line>
            </w:pict>
          </mc:Fallback>
        </mc:AlternateContent>
      </w:r>
    </w:p>
    <w:p w14:paraId="2C77D0F2">
      <w:pPr>
        <w:spacing w:line="280" w:lineRule="exact"/>
        <w:ind w:firstLine="280" w:firstLineChars="100"/>
        <w:rPr>
          <w:rFonts w:eastAsia="仿宋_GB2312"/>
          <w:b w:val="0"/>
          <w:bCs w:val="0"/>
          <w:sz w:val="28"/>
          <w:u w:val="none"/>
        </w:rPr>
      </w:pPr>
      <w:r>
        <w:rPr>
          <w:rFonts w:eastAsia="仿宋_GB2312"/>
          <w:b w:val="0"/>
          <w:bCs w:val="0"/>
          <w:sz w:val="28"/>
          <w:u w:val="none"/>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289560</wp:posOffset>
                </wp:positionV>
                <wp:extent cx="5524500" cy="635"/>
                <wp:effectExtent l="0" t="6350" r="0" b="12065"/>
                <wp:wrapNone/>
                <wp:docPr id="2" name="直线 5"/>
                <wp:cNvGraphicFramePr/>
                <a:graphic xmlns:a="http://schemas.openxmlformats.org/drawingml/2006/main">
                  <a:graphicData uri="http://schemas.microsoft.com/office/word/2010/wordprocessingShape">
                    <wps:wsp>
                      <wps:cNvCnPr/>
                      <wps:spPr>
                        <a:xfrm flipV="1">
                          <a:off x="0" y="0"/>
                          <a:ext cx="55245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0.8pt;margin-top:22.8pt;height:0.05pt;width:435pt;z-index:251660288;mso-width-relative:page;mso-height-relative:page;" filled="f" stroked="t" coordsize="21600,21600" o:gfxdata="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QH919MAAAAHAQAADwAAAAAAAAABACAAAAAiAAAAZHJzL2Rvd25yZXYueG1sUEsBAhQAFAAAAAgA&#10;h07iQF7kMtLxAQAA6AMAAA4AAAAAAAAAAQAgAAAAIgEAAGRycy9lMm9Eb2MueG1sUEsFBgAAAAAG&#10;AAYAWQEAAIUFAAAAAA==&#10;">
                <v:fill on="f" focussize="0,0"/>
                <v:stroke weight="1pt" color="#000000" joinstyle="round"/>
                <v:imagedata o:title=""/>
                <o:lock v:ext="edit" aspectratio="f"/>
              </v:line>
            </w:pict>
          </mc:Fallback>
        </mc:AlternateContent>
      </w:r>
      <w:r>
        <w:rPr>
          <w:rFonts w:eastAsia="仿宋_GB2312"/>
          <w:b w:val="0"/>
          <w:bCs w:val="0"/>
          <w:sz w:val="28"/>
          <w:u w:val="none"/>
        </w:rPr>
        <w:t>中共北京教育学院委员会办公室            202</w:t>
      </w:r>
      <w:r>
        <w:rPr>
          <w:rFonts w:hint="eastAsia" w:eastAsia="仿宋_GB2312"/>
          <w:b w:val="0"/>
          <w:bCs w:val="0"/>
          <w:sz w:val="28"/>
          <w:u w:val="none"/>
          <w:lang w:val="en-US" w:eastAsia="zh-CN"/>
        </w:rPr>
        <w:t>5</w:t>
      </w:r>
      <w:r>
        <w:rPr>
          <w:rFonts w:eastAsia="仿宋_GB2312"/>
          <w:b w:val="0"/>
          <w:bCs w:val="0"/>
          <w:sz w:val="28"/>
          <w:u w:val="none"/>
        </w:rPr>
        <w:t>年</w:t>
      </w:r>
      <w:r>
        <w:rPr>
          <w:rFonts w:hint="eastAsia" w:eastAsia="仿宋_GB2312"/>
          <w:b w:val="0"/>
          <w:bCs w:val="0"/>
          <w:sz w:val="28"/>
          <w:u w:val="none"/>
          <w:lang w:val="en-US" w:eastAsia="zh-CN"/>
        </w:rPr>
        <w:t>12</w:t>
      </w:r>
      <w:r>
        <w:rPr>
          <w:rFonts w:eastAsia="仿宋_GB2312"/>
          <w:b w:val="0"/>
          <w:bCs w:val="0"/>
          <w:sz w:val="28"/>
          <w:u w:val="none"/>
        </w:rPr>
        <w:t>月</w:t>
      </w:r>
      <w:r>
        <w:rPr>
          <w:rFonts w:hint="eastAsia" w:eastAsia="仿宋_GB2312"/>
          <w:b w:val="0"/>
          <w:bCs w:val="0"/>
          <w:sz w:val="28"/>
          <w:u w:val="none"/>
          <w:lang w:val="en-US" w:eastAsia="zh-CN"/>
        </w:rPr>
        <w:t>29</w:t>
      </w:r>
      <w:r>
        <w:rPr>
          <w:rFonts w:eastAsia="仿宋_GB2312"/>
          <w:b w:val="0"/>
          <w:bCs w:val="0"/>
          <w:sz w:val="28"/>
          <w:u w:val="none"/>
        </w:rPr>
        <w:t>日印发</w:t>
      </w:r>
    </w:p>
    <w:sectPr>
      <w:footerReference r:id="rId3" w:type="default"/>
      <w:footerReference r:id="rId4" w:type="even"/>
      <w:pgSz w:w="11906" w:h="16838"/>
      <w:pgMar w:top="2098" w:right="1474" w:bottom="1985" w:left="1587" w:header="851" w:footer="124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5874">
    <w:pPr>
      <w:pStyle w:val="11"/>
      <w:wordWrap w:val="0"/>
      <w:jc w:val="right"/>
      <w:rPr>
        <w:rFonts w:ascii="宋体" w:hAnsi="宋体"/>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46C3A75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B2C52">
    <w:pPr>
      <w:pStyle w:val="11"/>
      <w:ind w:firstLine="140" w:firstLineChars="5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14:paraId="2535FC2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OGJjMDE3YjQ1MjE5MjU4NzYxOGU2N2RkZGUyMWQifQ=="/>
  </w:docVars>
  <w:rsids>
    <w:rsidRoot w:val="00172A27"/>
    <w:rsid w:val="000003E5"/>
    <w:rsid w:val="000270C6"/>
    <w:rsid w:val="00027101"/>
    <w:rsid w:val="00031082"/>
    <w:rsid w:val="0003746D"/>
    <w:rsid w:val="0003785C"/>
    <w:rsid w:val="00060316"/>
    <w:rsid w:val="000875C7"/>
    <w:rsid w:val="0009462E"/>
    <w:rsid w:val="000954EB"/>
    <w:rsid w:val="000A454F"/>
    <w:rsid w:val="000C7A4D"/>
    <w:rsid w:val="000D7BDE"/>
    <w:rsid w:val="000D7DE2"/>
    <w:rsid w:val="000E3654"/>
    <w:rsid w:val="00113EBA"/>
    <w:rsid w:val="0012012D"/>
    <w:rsid w:val="001216AB"/>
    <w:rsid w:val="001372DF"/>
    <w:rsid w:val="00137B4B"/>
    <w:rsid w:val="00146ED7"/>
    <w:rsid w:val="00147BA8"/>
    <w:rsid w:val="00151F36"/>
    <w:rsid w:val="00153586"/>
    <w:rsid w:val="00162CDE"/>
    <w:rsid w:val="00172A27"/>
    <w:rsid w:val="00192242"/>
    <w:rsid w:val="00195A9F"/>
    <w:rsid w:val="001B0521"/>
    <w:rsid w:val="001C2018"/>
    <w:rsid w:val="001D1473"/>
    <w:rsid w:val="001D2141"/>
    <w:rsid w:val="001F6B3F"/>
    <w:rsid w:val="001F6F05"/>
    <w:rsid w:val="002257CF"/>
    <w:rsid w:val="002506B0"/>
    <w:rsid w:val="00260E8E"/>
    <w:rsid w:val="00272E14"/>
    <w:rsid w:val="002865CE"/>
    <w:rsid w:val="00286D2E"/>
    <w:rsid w:val="00294E47"/>
    <w:rsid w:val="002A281B"/>
    <w:rsid w:val="002B07E7"/>
    <w:rsid w:val="002B33D2"/>
    <w:rsid w:val="002B364C"/>
    <w:rsid w:val="002C2D50"/>
    <w:rsid w:val="002D5603"/>
    <w:rsid w:val="002D6F93"/>
    <w:rsid w:val="002E2E2C"/>
    <w:rsid w:val="002F5CCC"/>
    <w:rsid w:val="003025A9"/>
    <w:rsid w:val="003153DA"/>
    <w:rsid w:val="0032331F"/>
    <w:rsid w:val="00327EE1"/>
    <w:rsid w:val="00355A47"/>
    <w:rsid w:val="003601D1"/>
    <w:rsid w:val="003713F4"/>
    <w:rsid w:val="003756D2"/>
    <w:rsid w:val="00390F3C"/>
    <w:rsid w:val="0039170D"/>
    <w:rsid w:val="00392654"/>
    <w:rsid w:val="003945AE"/>
    <w:rsid w:val="003A43EC"/>
    <w:rsid w:val="003A6869"/>
    <w:rsid w:val="003C7C9E"/>
    <w:rsid w:val="003D01FF"/>
    <w:rsid w:val="003E3368"/>
    <w:rsid w:val="003E52C8"/>
    <w:rsid w:val="00400F17"/>
    <w:rsid w:val="00406DE8"/>
    <w:rsid w:val="00436D4E"/>
    <w:rsid w:val="004414C6"/>
    <w:rsid w:val="00442A3F"/>
    <w:rsid w:val="004448A6"/>
    <w:rsid w:val="00450286"/>
    <w:rsid w:val="00475916"/>
    <w:rsid w:val="004A62D3"/>
    <w:rsid w:val="004B3619"/>
    <w:rsid w:val="004B3A48"/>
    <w:rsid w:val="004C28B5"/>
    <w:rsid w:val="004C2B67"/>
    <w:rsid w:val="004E210B"/>
    <w:rsid w:val="004E2D03"/>
    <w:rsid w:val="00524A26"/>
    <w:rsid w:val="00542D6C"/>
    <w:rsid w:val="00565A19"/>
    <w:rsid w:val="00571C54"/>
    <w:rsid w:val="00574420"/>
    <w:rsid w:val="005765AE"/>
    <w:rsid w:val="00582DFB"/>
    <w:rsid w:val="005867C4"/>
    <w:rsid w:val="00586ED2"/>
    <w:rsid w:val="0059232C"/>
    <w:rsid w:val="005B346D"/>
    <w:rsid w:val="005B7A81"/>
    <w:rsid w:val="005D40D0"/>
    <w:rsid w:val="005E1033"/>
    <w:rsid w:val="005E65FC"/>
    <w:rsid w:val="005F57F3"/>
    <w:rsid w:val="00604A09"/>
    <w:rsid w:val="00604A1D"/>
    <w:rsid w:val="00612662"/>
    <w:rsid w:val="00613B4A"/>
    <w:rsid w:val="0063310A"/>
    <w:rsid w:val="00635D1C"/>
    <w:rsid w:val="00647E48"/>
    <w:rsid w:val="006516B5"/>
    <w:rsid w:val="0065391C"/>
    <w:rsid w:val="00655790"/>
    <w:rsid w:val="00660440"/>
    <w:rsid w:val="00666837"/>
    <w:rsid w:val="00671650"/>
    <w:rsid w:val="00674A15"/>
    <w:rsid w:val="00686451"/>
    <w:rsid w:val="006A10C8"/>
    <w:rsid w:val="006A2D29"/>
    <w:rsid w:val="006A58EE"/>
    <w:rsid w:val="006B1F50"/>
    <w:rsid w:val="006C60DA"/>
    <w:rsid w:val="006E2C47"/>
    <w:rsid w:val="006E6BB1"/>
    <w:rsid w:val="00707624"/>
    <w:rsid w:val="00707FA8"/>
    <w:rsid w:val="00726E96"/>
    <w:rsid w:val="00741C9F"/>
    <w:rsid w:val="00744000"/>
    <w:rsid w:val="007467DB"/>
    <w:rsid w:val="00757A62"/>
    <w:rsid w:val="00797C71"/>
    <w:rsid w:val="007A0CE5"/>
    <w:rsid w:val="007A1660"/>
    <w:rsid w:val="007A5E41"/>
    <w:rsid w:val="007A6B5F"/>
    <w:rsid w:val="007C2DB2"/>
    <w:rsid w:val="007F1F78"/>
    <w:rsid w:val="007F7B5D"/>
    <w:rsid w:val="00801AFA"/>
    <w:rsid w:val="00802CF7"/>
    <w:rsid w:val="008049C9"/>
    <w:rsid w:val="00821F68"/>
    <w:rsid w:val="0084240B"/>
    <w:rsid w:val="0085293D"/>
    <w:rsid w:val="00855978"/>
    <w:rsid w:val="0088228F"/>
    <w:rsid w:val="00893978"/>
    <w:rsid w:val="008C3C03"/>
    <w:rsid w:val="008C692E"/>
    <w:rsid w:val="008C7596"/>
    <w:rsid w:val="008F2984"/>
    <w:rsid w:val="00910E31"/>
    <w:rsid w:val="00914D57"/>
    <w:rsid w:val="009254C4"/>
    <w:rsid w:val="00925A6D"/>
    <w:rsid w:val="00926012"/>
    <w:rsid w:val="00932D23"/>
    <w:rsid w:val="00950DE1"/>
    <w:rsid w:val="009631F0"/>
    <w:rsid w:val="00967692"/>
    <w:rsid w:val="00983D45"/>
    <w:rsid w:val="00996ACF"/>
    <w:rsid w:val="009A2F0A"/>
    <w:rsid w:val="009B722D"/>
    <w:rsid w:val="009C03DF"/>
    <w:rsid w:val="009C29E2"/>
    <w:rsid w:val="009C6A3A"/>
    <w:rsid w:val="009D06E9"/>
    <w:rsid w:val="009D4405"/>
    <w:rsid w:val="009F12D3"/>
    <w:rsid w:val="009F1D0E"/>
    <w:rsid w:val="009F508D"/>
    <w:rsid w:val="00A03E89"/>
    <w:rsid w:val="00A303C5"/>
    <w:rsid w:val="00A315BC"/>
    <w:rsid w:val="00A36CFF"/>
    <w:rsid w:val="00A40C77"/>
    <w:rsid w:val="00A56A01"/>
    <w:rsid w:val="00A63991"/>
    <w:rsid w:val="00A726BC"/>
    <w:rsid w:val="00A747CC"/>
    <w:rsid w:val="00A76DBB"/>
    <w:rsid w:val="00A85D34"/>
    <w:rsid w:val="00A96C51"/>
    <w:rsid w:val="00AA40A1"/>
    <w:rsid w:val="00AA7B44"/>
    <w:rsid w:val="00AB6131"/>
    <w:rsid w:val="00AC1469"/>
    <w:rsid w:val="00AC593C"/>
    <w:rsid w:val="00AD2B70"/>
    <w:rsid w:val="00AD5531"/>
    <w:rsid w:val="00AE22FF"/>
    <w:rsid w:val="00AE6AFD"/>
    <w:rsid w:val="00B10BF2"/>
    <w:rsid w:val="00B23E80"/>
    <w:rsid w:val="00B31C7D"/>
    <w:rsid w:val="00B36262"/>
    <w:rsid w:val="00B40046"/>
    <w:rsid w:val="00B42434"/>
    <w:rsid w:val="00B55A2E"/>
    <w:rsid w:val="00B62677"/>
    <w:rsid w:val="00B62B75"/>
    <w:rsid w:val="00B65564"/>
    <w:rsid w:val="00B8016C"/>
    <w:rsid w:val="00B914FD"/>
    <w:rsid w:val="00B937E1"/>
    <w:rsid w:val="00BA1364"/>
    <w:rsid w:val="00BA483B"/>
    <w:rsid w:val="00BB709E"/>
    <w:rsid w:val="00BC0E71"/>
    <w:rsid w:val="00BD6EF3"/>
    <w:rsid w:val="00BF3C3A"/>
    <w:rsid w:val="00C17D02"/>
    <w:rsid w:val="00C312F3"/>
    <w:rsid w:val="00C40704"/>
    <w:rsid w:val="00C423C6"/>
    <w:rsid w:val="00C467D7"/>
    <w:rsid w:val="00C548C1"/>
    <w:rsid w:val="00C60460"/>
    <w:rsid w:val="00C73842"/>
    <w:rsid w:val="00C77E71"/>
    <w:rsid w:val="00C80507"/>
    <w:rsid w:val="00C83E53"/>
    <w:rsid w:val="00C97213"/>
    <w:rsid w:val="00CA158B"/>
    <w:rsid w:val="00CA4457"/>
    <w:rsid w:val="00CB0400"/>
    <w:rsid w:val="00CC736B"/>
    <w:rsid w:val="00CD05FD"/>
    <w:rsid w:val="00D02885"/>
    <w:rsid w:val="00D15083"/>
    <w:rsid w:val="00D25486"/>
    <w:rsid w:val="00D316BF"/>
    <w:rsid w:val="00D31B46"/>
    <w:rsid w:val="00D32511"/>
    <w:rsid w:val="00D52276"/>
    <w:rsid w:val="00D66548"/>
    <w:rsid w:val="00D67A05"/>
    <w:rsid w:val="00DA4EDC"/>
    <w:rsid w:val="00DB0341"/>
    <w:rsid w:val="00DB1523"/>
    <w:rsid w:val="00DB6B0A"/>
    <w:rsid w:val="00DC6CA0"/>
    <w:rsid w:val="00DF1470"/>
    <w:rsid w:val="00DF295B"/>
    <w:rsid w:val="00DF6136"/>
    <w:rsid w:val="00E01DF8"/>
    <w:rsid w:val="00E17A0C"/>
    <w:rsid w:val="00E25038"/>
    <w:rsid w:val="00E260B8"/>
    <w:rsid w:val="00E462BD"/>
    <w:rsid w:val="00E62813"/>
    <w:rsid w:val="00E66EE3"/>
    <w:rsid w:val="00E90AE8"/>
    <w:rsid w:val="00EA182D"/>
    <w:rsid w:val="00EA3EE3"/>
    <w:rsid w:val="00EA66A2"/>
    <w:rsid w:val="00EA7727"/>
    <w:rsid w:val="00EB2A11"/>
    <w:rsid w:val="00EC5FAE"/>
    <w:rsid w:val="00ED1A04"/>
    <w:rsid w:val="00EE17BA"/>
    <w:rsid w:val="00EF7C28"/>
    <w:rsid w:val="00F0670F"/>
    <w:rsid w:val="00F107F4"/>
    <w:rsid w:val="00F17943"/>
    <w:rsid w:val="00F22D58"/>
    <w:rsid w:val="00F3115D"/>
    <w:rsid w:val="00F346CF"/>
    <w:rsid w:val="00F42B7A"/>
    <w:rsid w:val="00F43C48"/>
    <w:rsid w:val="00F4719F"/>
    <w:rsid w:val="00F539E5"/>
    <w:rsid w:val="00F543C6"/>
    <w:rsid w:val="00FB271F"/>
    <w:rsid w:val="00FB47F1"/>
    <w:rsid w:val="00FD071A"/>
    <w:rsid w:val="00FD1EE7"/>
    <w:rsid w:val="00FD6EED"/>
    <w:rsid w:val="01B669AF"/>
    <w:rsid w:val="01E871C8"/>
    <w:rsid w:val="02812247"/>
    <w:rsid w:val="03390FC7"/>
    <w:rsid w:val="03C26D87"/>
    <w:rsid w:val="04737BE5"/>
    <w:rsid w:val="04902D6B"/>
    <w:rsid w:val="04A0174A"/>
    <w:rsid w:val="05492C57"/>
    <w:rsid w:val="05AA091A"/>
    <w:rsid w:val="06545260"/>
    <w:rsid w:val="066F1A61"/>
    <w:rsid w:val="071262FF"/>
    <w:rsid w:val="07D8727E"/>
    <w:rsid w:val="07FC2953"/>
    <w:rsid w:val="08EF5C7C"/>
    <w:rsid w:val="0913503D"/>
    <w:rsid w:val="0A980929"/>
    <w:rsid w:val="0C3E73F1"/>
    <w:rsid w:val="0CD77AAC"/>
    <w:rsid w:val="0D2003C0"/>
    <w:rsid w:val="0D291939"/>
    <w:rsid w:val="0DC258EB"/>
    <w:rsid w:val="0F9134B5"/>
    <w:rsid w:val="0FF07ADB"/>
    <w:rsid w:val="101E2CF3"/>
    <w:rsid w:val="10533277"/>
    <w:rsid w:val="10D63E1C"/>
    <w:rsid w:val="110949C2"/>
    <w:rsid w:val="11E319E8"/>
    <w:rsid w:val="122D020D"/>
    <w:rsid w:val="12757498"/>
    <w:rsid w:val="12AD789F"/>
    <w:rsid w:val="12FD4FD1"/>
    <w:rsid w:val="132179FB"/>
    <w:rsid w:val="134E088A"/>
    <w:rsid w:val="13C84379"/>
    <w:rsid w:val="13F35768"/>
    <w:rsid w:val="13F54E26"/>
    <w:rsid w:val="152D239E"/>
    <w:rsid w:val="15351F16"/>
    <w:rsid w:val="15BB5BFB"/>
    <w:rsid w:val="15C2342E"/>
    <w:rsid w:val="168A1E99"/>
    <w:rsid w:val="179C6D63"/>
    <w:rsid w:val="17B0519B"/>
    <w:rsid w:val="18320325"/>
    <w:rsid w:val="185A3AF7"/>
    <w:rsid w:val="195B4203"/>
    <w:rsid w:val="1AAE4BB5"/>
    <w:rsid w:val="1B9B3415"/>
    <w:rsid w:val="1BCA6707"/>
    <w:rsid w:val="1C5B0AAC"/>
    <w:rsid w:val="1D36146E"/>
    <w:rsid w:val="1D3A5FA0"/>
    <w:rsid w:val="1D896FD1"/>
    <w:rsid w:val="1D9F2000"/>
    <w:rsid w:val="1E114C18"/>
    <w:rsid w:val="1E7F3A49"/>
    <w:rsid w:val="1EFA1543"/>
    <w:rsid w:val="20BC7F3E"/>
    <w:rsid w:val="20EA3D1B"/>
    <w:rsid w:val="21992685"/>
    <w:rsid w:val="23ED4B4D"/>
    <w:rsid w:val="250724F1"/>
    <w:rsid w:val="25F93003"/>
    <w:rsid w:val="26040F4D"/>
    <w:rsid w:val="26155D5F"/>
    <w:rsid w:val="26675677"/>
    <w:rsid w:val="2755767A"/>
    <w:rsid w:val="27EB00E7"/>
    <w:rsid w:val="28871752"/>
    <w:rsid w:val="28947A3E"/>
    <w:rsid w:val="28C47AE6"/>
    <w:rsid w:val="2B9159B8"/>
    <w:rsid w:val="2E34408B"/>
    <w:rsid w:val="2E356949"/>
    <w:rsid w:val="2E5A24D9"/>
    <w:rsid w:val="2E813808"/>
    <w:rsid w:val="2FC342C5"/>
    <w:rsid w:val="30E8458E"/>
    <w:rsid w:val="32A53CED"/>
    <w:rsid w:val="33B80C85"/>
    <w:rsid w:val="33EE5FEA"/>
    <w:rsid w:val="341E0EC0"/>
    <w:rsid w:val="34FD4CC6"/>
    <w:rsid w:val="35CB1934"/>
    <w:rsid w:val="35F86203"/>
    <w:rsid w:val="37647A20"/>
    <w:rsid w:val="378C5B0A"/>
    <w:rsid w:val="397D27A0"/>
    <w:rsid w:val="3A8D33B0"/>
    <w:rsid w:val="3ADC2547"/>
    <w:rsid w:val="3BC9396C"/>
    <w:rsid w:val="3BD13AAF"/>
    <w:rsid w:val="3C242C07"/>
    <w:rsid w:val="3D1C3198"/>
    <w:rsid w:val="3D375BF2"/>
    <w:rsid w:val="3D6B0778"/>
    <w:rsid w:val="3D815A4C"/>
    <w:rsid w:val="3EC41C57"/>
    <w:rsid w:val="3F5B13A8"/>
    <w:rsid w:val="3FFE3A92"/>
    <w:rsid w:val="40FC6AD0"/>
    <w:rsid w:val="41EE33DC"/>
    <w:rsid w:val="420C6E64"/>
    <w:rsid w:val="42773E10"/>
    <w:rsid w:val="45805B9C"/>
    <w:rsid w:val="45D14A92"/>
    <w:rsid w:val="47932AB6"/>
    <w:rsid w:val="47A31550"/>
    <w:rsid w:val="486D7B5A"/>
    <w:rsid w:val="48C60564"/>
    <w:rsid w:val="48FC44D0"/>
    <w:rsid w:val="494A0D8F"/>
    <w:rsid w:val="49E201DF"/>
    <w:rsid w:val="49EB7B56"/>
    <w:rsid w:val="4A574B4F"/>
    <w:rsid w:val="4AA54E66"/>
    <w:rsid w:val="4AD22AD7"/>
    <w:rsid w:val="4BDB7ED6"/>
    <w:rsid w:val="4CB61C72"/>
    <w:rsid w:val="4D4A5D3C"/>
    <w:rsid w:val="4E8541A6"/>
    <w:rsid w:val="4F5E6A2E"/>
    <w:rsid w:val="4F654D61"/>
    <w:rsid w:val="50C80637"/>
    <w:rsid w:val="50CD5485"/>
    <w:rsid w:val="51BD037A"/>
    <w:rsid w:val="51F947B4"/>
    <w:rsid w:val="533F163E"/>
    <w:rsid w:val="540E2DBF"/>
    <w:rsid w:val="541B4CF0"/>
    <w:rsid w:val="544868DE"/>
    <w:rsid w:val="55B00E15"/>
    <w:rsid w:val="55FA5D6C"/>
    <w:rsid w:val="56240ED3"/>
    <w:rsid w:val="56365E05"/>
    <w:rsid w:val="56AB0499"/>
    <w:rsid w:val="58CC5296"/>
    <w:rsid w:val="59B8177A"/>
    <w:rsid w:val="5C744009"/>
    <w:rsid w:val="5D60130D"/>
    <w:rsid w:val="5E2D363F"/>
    <w:rsid w:val="5FCC72DC"/>
    <w:rsid w:val="5FD0051B"/>
    <w:rsid w:val="605B738C"/>
    <w:rsid w:val="63260125"/>
    <w:rsid w:val="64864F67"/>
    <w:rsid w:val="64AF0145"/>
    <w:rsid w:val="64E205FA"/>
    <w:rsid w:val="653948D1"/>
    <w:rsid w:val="65CD498E"/>
    <w:rsid w:val="67774456"/>
    <w:rsid w:val="68272261"/>
    <w:rsid w:val="68996B6F"/>
    <w:rsid w:val="68F0377B"/>
    <w:rsid w:val="69394554"/>
    <w:rsid w:val="693A32CF"/>
    <w:rsid w:val="69BF22D4"/>
    <w:rsid w:val="69EA7609"/>
    <w:rsid w:val="6A0711C1"/>
    <w:rsid w:val="6A6F132D"/>
    <w:rsid w:val="6E2A5BBA"/>
    <w:rsid w:val="6E75048E"/>
    <w:rsid w:val="6F3B6306"/>
    <w:rsid w:val="70056AF1"/>
    <w:rsid w:val="70AC1CEA"/>
    <w:rsid w:val="725F72C0"/>
    <w:rsid w:val="7270619E"/>
    <w:rsid w:val="73437FC0"/>
    <w:rsid w:val="734A48E3"/>
    <w:rsid w:val="73F50335"/>
    <w:rsid w:val="75342B9F"/>
    <w:rsid w:val="753F443C"/>
    <w:rsid w:val="754406E9"/>
    <w:rsid w:val="757A1E78"/>
    <w:rsid w:val="7703241E"/>
    <w:rsid w:val="77570FA8"/>
    <w:rsid w:val="77EA1E1D"/>
    <w:rsid w:val="78000AB5"/>
    <w:rsid w:val="7AA3572D"/>
    <w:rsid w:val="7C2D79D7"/>
    <w:rsid w:val="7E9D11EE"/>
    <w:rsid w:val="7EA8263F"/>
    <w:rsid w:val="7F521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0"/>
    </w:pPr>
    <w:rPr>
      <w:rFonts w:ascii="Times New Roman" w:hAnsi="Times New Roman" w:eastAsia="黑体" w:cs="Times New Roman"/>
      <w:kern w:val="44"/>
      <w:sz w:val="32"/>
      <w:szCs w:val="32"/>
      <w:lang w:bidi="ar-SA"/>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line="560" w:lineRule="exact"/>
      <w:ind w:firstLine="960" w:firstLineChars="200"/>
      <w:outlineLvl w:val="2"/>
    </w:pPr>
    <w:rPr>
      <w:rFonts w:eastAsia="楷体"/>
      <w:kern w:val="0"/>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pPr>
      <w:jc w:val="left"/>
    </w:pPr>
    <w:rPr>
      <w:rFonts w:ascii="Calibri" w:hAnsi="Calibri"/>
      <w:szCs w:val="22"/>
    </w:rPr>
  </w:style>
  <w:style w:type="paragraph" w:styleId="6">
    <w:name w:val="Salutation"/>
    <w:basedOn w:val="1"/>
    <w:next w:val="1"/>
    <w:qFormat/>
    <w:uiPriority w:val="0"/>
    <w:rPr>
      <w:sz w:val="28"/>
    </w:rPr>
  </w:style>
  <w:style w:type="paragraph" w:styleId="7">
    <w:name w:val="Body Text"/>
    <w:basedOn w:val="1"/>
    <w:qFormat/>
    <w:uiPriority w:val="0"/>
    <w:pPr>
      <w:widowControl w:val="0"/>
      <w:overflowPunct w:val="0"/>
      <w:topLinePunct/>
      <w:spacing w:afterLines="0" w:afterAutospacing="0"/>
      <w:ind w:firstLine="632" w:firstLineChars="200"/>
      <w:jc w:val="both"/>
    </w:pPr>
    <w:rPr>
      <w:rFonts w:ascii="GWZT-EN" w:hAnsi="Times New Roman" w:eastAsia="仿宋" w:cs="Times New Roman"/>
      <w:kern w:val="2"/>
      <w:sz w:val="32"/>
      <w:szCs w:val="32"/>
      <w:lang w:bidi="ar-SA"/>
    </w:rPr>
  </w:style>
  <w:style w:type="paragraph" w:styleId="8">
    <w:name w:val="toc 3"/>
    <w:basedOn w:val="1"/>
    <w:next w:val="1"/>
    <w:qFormat/>
    <w:uiPriority w:val="0"/>
    <w:pPr>
      <w:ind w:left="840" w:leftChars="400"/>
    </w:pPr>
  </w:style>
  <w:style w:type="paragraph" w:styleId="9">
    <w:name w:val="Date"/>
    <w:basedOn w:val="1"/>
    <w:next w:val="1"/>
    <w:qFormat/>
    <w:uiPriority w:val="0"/>
    <w:rPr>
      <w:rFonts w:ascii="仿宋_GB2312" w:eastAsia="仿宋_GB2312"/>
      <w:sz w:val="32"/>
    </w:rPr>
  </w:style>
  <w:style w:type="paragraph" w:styleId="10">
    <w:name w:val="Balloon Text"/>
    <w:basedOn w:val="1"/>
    <w:link w:val="22"/>
    <w:semiHidden/>
    <w:unhideWhenUsed/>
    <w:qFormat/>
    <w:uiPriority w:val="99"/>
    <w:rPr>
      <w:sz w:val="18"/>
      <w:szCs w:val="18"/>
    </w:rPr>
  </w:style>
  <w:style w:type="paragraph" w:styleId="11">
    <w:name w:val="footer"/>
    <w:basedOn w:val="1"/>
    <w:link w:val="2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otnote reference"/>
    <w:basedOn w:val="16"/>
    <w:semiHidden/>
    <w:unhideWhenUsed/>
    <w:qFormat/>
    <w:uiPriority w:val="99"/>
    <w:rPr>
      <w:vertAlign w:val="superscript"/>
    </w:rPr>
  </w:style>
  <w:style w:type="paragraph" w:customStyle="1" w:styleId="20">
    <w:name w:val="Char Char"/>
    <w:basedOn w:val="1"/>
    <w:qFormat/>
    <w:uiPriority w:val="0"/>
  </w:style>
  <w:style w:type="character" w:customStyle="1" w:styleId="21">
    <w:name w:val="页脚 字符"/>
    <w:link w:val="11"/>
    <w:qFormat/>
    <w:uiPriority w:val="99"/>
    <w:rPr>
      <w:kern w:val="2"/>
      <w:sz w:val="18"/>
    </w:rPr>
  </w:style>
  <w:style w:type="character" w:customStyle="1" w:styleId="22">
    <w:name w:val="批注框文本 字符"/>
    <w:link w:val="10"/>
    <w:semiHidden/>
    <w:qFormat/>
    <w:uiPriority w:val="99"/>
    <w:rPr>
      <w:kern w:val="2"/>
      <w:sz w:val="18"/>
      <w:szCs w:val="18"/>
    </w:rPr>
  </w:style>
  <w:style w:type="paragraph" w:customStyle="1" w:styleId="23">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
    <w:name w:val="列出段落1"/>
    <w:basedOn w:val="1"/>
    <w:qFormat/>
    <w:uiPriority w:val="0"/>
    <w:pPr>
      <w:ind w:firstLine="420" w:firstLineChars="200"/>
    </w:pPr>
    <w:rPr>
      <w:rFonts w:ascii="Calibri" w:hAnsi="Calibri"/>
      <w:szCs w:val="22"/>
    </w:rPr>
  </w:style>
  <w:style w:type="character" w:customStyle="1" w:styleId="25">
    <w:name w:val="批注文字 字符"/>
    <w:link w:val="5"/>
    <w:qFormat/>
    <w:uiPriority w:val="0"/>
    <w:rPr>
      <w:rFonts w:ascii="Calibri" w:hAnsi="Calibri"/>
      <w:kern w:val="2"/>
      <w:sz w:val="21"/>
      <w:szCs w:val="22"/>
    </w:rPr>
  </w:style>
  <w:style w:type="character" w:customStyle="1" w:styleId="26">
    <w:name w:val="normalclass1"/>
    <w:qFormat/>
    <w:uiPriority w:val="0"/>
  </w:style>
  <w:style w:type="character" w:customStyle="1" w:styleId="27">
    <w:name w:val="批注文字 Char1"/>
    <w:semiHidden/>
    <w:qFormat/>
    <w:uiPriority w:val="99"/>
    <w:rPr>
      <w:kern w:val="2"/>
      <w:sz w:val="21"/>
    </w:rPr>
  </w:style>
  <w:style w:type="character" w:customStyle="1" w:styleId="28">
    <w:name w:val="标题 2 字符"/>
    <w:basedOn w:val="16"/>
    <w:link w:val="3"/>
    <w:semiHidden/>
    <w:qFormat/>
    <w:uiPriority w:val="9"/>
    <w:rPr>
      <w:rFonts w:asciiTheme="majorHAnsi" w:hAnsiTheme="majorHAnsi" w:eastAsiaTheme="majorEastAsia" w:cstheme="majorBidi"/>
      <w:b/>
      <w:bCs/>
      <w:kern w:val="2"/>
      <w:sz w:val="32"/>
      <w:szCs w:val="32"/>
    </w:rPr>
  </w:style>
  <w:style w:type="paragraph" w:styleId="29">
    <w:name w:val="List Paragraph"/>
    <w:basedOn w:val="1"/>
    <w:qFormat/>
    <w:uiPriority w:val="1"/>
    <w:pPr>
      <w:ind w:left="1088" w:hanging="322"/>
    </w:pPr>
    <w:rPr>
      <w:rFonts w:ascii="仿宋_GB2312" w:hAnsi="仿宋_GB2312" w:eastAsia="仿宋_GB2312" w:cs="仿宋_GB2312"/>
      <w:lang w:val="zh-CN" w:bidi="zh-CN"/>
    </w:rPr>
  </w:style>
  <w:style w:type="paragraph" w:customStyle="1" w:styleId="30">
    <w:name w:val="样1正文"/>
    <w:basedOn w:val="1"/>
    <w:link w:val="31"/>
    <w:qFormat/>
    <w:uiPriority w:val="0"/>
    <w:pPr>
      <w:spacing w:line="560" w:lineRule="exact"/>
      <w:ind w:firstLine="200" w:firstLineChars="200"/>
    </w:pPr>
    <w:rPr>
      <w:rFonts w:eastAsia="仿宋_GB2312"/>
      <w:sz w:val="32"/>
    </w:rPr>
  </w:style>
  <w:style w:type="character" w:customStyle="1" w:styleId="31">
    <w:name w:val="样1正文 字符"/>
    <w:basedOn w:val="16"/>
    <w:link w:val="30"/>
    <w:qFormat/>
    <w:uiPriority w:val="0"/>
    <w:rPr>
      <w:rFonts w:eastAsia="仿宋_GB2312"/>
      <w:sz w:val="32"/>
    </w:rPr>
  </w:style>
  <w:style w:type="paragraph" w:customStyle="1" w:styleId="32">
    <w:name w:val="BodyText"/>
    <w:qFormat/>
    <w:uiPriority w:val="0"/>
    <w:pPr>
      <w:widowControl w:val="0"/>
      <w:spacing w:after="140" w:line="276" w:lineRule="auto"/>
      <w:jc w:val="both"/>
    </w:pPr>
    <w:rPr>
      <w:rFonts w:ascii="Calibri" w:hAnsi="Calibri" w:eastAsia="宋体" w:cs="Times New Roman"/>
      <w:kern w:val="2"/>
      <w:sz w:val="21"/>
      <w:szCs w:val="24"/>
      <w:lang w:val="en-US" w:eastAsia="zh-CN" w:bidi="ar-SA"/>
    </w:rPr>
  </w:style>
  <w:style w:type="paragraph" w:customStyle="1" w:styleId="33">
    <w:name w:val="内容"/>
    <w:basedOn w:val="1"/>
    <w:qFormat/>
    <w:uiPriority w:val="99"/>
    <w:pPr>
      <w:snapToGrid w:val="0"/>
      <w:spacing w:line="500" w:lineRule="exact"/>
      <w:ind w:firstLine="560" w:firstLineChars="200"/>
    </w:pPr>
    <w:rPr>
      <w:rFonts w:ascii="宋体" w:hAnsi="宋体" w:eastAsia="宋体" w:cs="Times New Roman"/>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9C260B-3966-4030-9C6E-D98383C52C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8642</Words>
  <Characters>8834</Characters>
  <Lines>43</Lines>
  <Paragraphs>12</Paragraphs>
  <TotalTime>3</TotalTime>
  <ScaleCrop>false</ScaleCrop>
  <LinksUpToDate>false</LinksUpToDate>
  <CharactersWithSpaces>8854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2017-03-29T06:32:00Z</dcterms:created>
  <dc:creator>Administrator</dc:creator>
  <cp:lastModifiedBy>刘倩如</cp:lastModifiedBy>
  <cp:lastPrinted>2025-12-29T05:25:59Z</cp:lastPrinted>
  <dcterms:modified xsi:type="dcterms:W3CDTF">2025-12-29T05:26:08Z</dcterms:modified>
  <dc:title>京教院教发〔2012〕3号</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2D1C87D650F44025AE1885B389FA85EF_13</vt:lpwstr>
  </property>
  <property fmtid="{D5CDD505-2E9C-101B-9397-08002B2CF9AE}" pid="4" name="KSOTemplateDocerSaveRecord">
    <vt:lpwstr>eyJoZGlkIjoiY2VlZThkYjkzMjkyNDJmZGQzNjFkYWNkMTNhMzdjMjIiLCJ1c2VySWQiOiIxNDYyODMzOTU5In0=</vt:lpwstr>
  </property>
</Properties>
</file>