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firstLine="42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3</w:t>
      </w:r>
      <w:r>
        <w:rPr>
          <w:rFonts w:hint="eastAsia" w:ascii="方正小标宋简体" w:hAnsi="方正小标宋简体" w:eastAsia="方正小标宋简体" w:cs="方正小标宋简体"/>
          <w:b w:val="0"/>
          <w:bCs/>
          <w:sz w:val="44"/>
          <w:szCs w:val="44"/>
        </w:rPr>
        <w:t>年度个人述职报告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jc w:val="center"/>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北京教育学院党委常委、副院长</w:t>
      </w:r>
      <w:r>
        <w:rPr>
          <w:rFonts w:hint="eastAsia" w:ascii="楷体_GB2312" w:hAnsi="楷体_GB2312" w:eastAsia="楷体_GB2312" w:cs="楷体_GB2312"/>
          <w:b w:val="0"/>
          <w:bCs/>
          <w:sz w:val="32"/>
          <w:szCs w:val="32"/>
          <w:lang w:val="en-US" w:eastAsia="zh-CN"/>
        </w:rPr>
        <w:t xml:space="preserve">  </w:t>
      </w:r>
      <w:r>
        <w:rPr>
          <w:rFonts w:hint="eastAsia" w:ascii="楷体_GB2312" w:hAnsi="楷体_GB2312" w:eastAsia="楷体_GB2312" w:cs="楷体_GB2312"/>
          <w:b w:val="0"/>
          <w:bCs/>
          <w:sz w:val="32"/>
          <w:szCs w:val="32"/>
        </w:rPr>
        <w:t>桑锦龙</w:t>
      </w:r>
      <w:r>
        <w:rPr>
          <w:rFonts w:hint="eastAsia" w:ascii="楷体_GB2312" w:hAnsi="楷体_GB2312" w:eastAsia="楷体_GB2312" w:cs="楷体_GB2312"/>
          <w:b w:val="0"/>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jc w:val="center"/>
        <w:textAlignment w:val="auto"/>
        <w:rPr>
          <w:rFonts w:hint="eastAsia" w:ascii="仿宋_GB2312" w:hAnsi="仿宋_GB2312" w:eastAsia="仿宋_GB2312" w:cs="仿宋_GB2312"/>
          <w:b/>
          <w:sz w:val="32"/>
          <w:szCs w:val="32"/>
        </w:rPr>
      </w:pP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560"/>
        <w:jc w:val="both"/>
        <w:textAlignment w:val="auto"/>
        <w:rPr>
          <w:rFonts w:hint="eastAsia" w:ascii="黑体" w:hAnsi="黑体" w:eastAsia="黑体" w:cs="黑体"/>
          <w:b w:val="0"/>
          <w:bCs/>
          <w:sz w:val="32"/>
          <w:szCs w:val="32"/>
        </w:rPr>
      </w:pPr>
      <w:r>
        <w:rPr>
          <w:rFonts w:hint="eastAsia" w:ascii="黑体" w:hAnsi="黑体" w:eastAsia="黑体" w:cs="黑体"/>
          <w:b w:val="0"/>
          <w:bCs/>
          <w:color w:val="000000"/>
          <w:sz w:val="32"/>
          <w:szCs w:val="32"/>
          <w:shd w:val="clear" w:fill="FFFFFF"/>
        </w:rPr>
        <w:t>述</w:t>
      </w:r>
      <w:r>
        <w:rPr>
          <w:rFonts w:hint="eastAsia" w:ascii="黑体" w:hAnsi="黑体" w:eastAsia="黑体" w:cs="黑体"/>
          <w:b w:val="0"/>
          <w:bCs/>
          <w:color w:val="000000"/>
          <w:sz w:val="32"/>
          <w:szCs w:val="32"/>
        </w:rPr>
        <w:t>德</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深入贯彻落实党的二十大精神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深入贯彻落实习近平总书记重要指示批示精神和党中央、市委教育决策部署。</w:t>
      </w:r>
      <w:r>
        <w:rPr>
          <w:rFonts w:hint="eastAsia" w:ascii="仿宋_GB2312" w:hAnsi="仿宋_GB2312" w:eastAsia="仿宋_GB2312" w:cs="仿宋_GB2312"/>
          <w:sz w:val="32"/>
          <w:szCs w:val="32"/>
        </w:rPr>
        <w:t>积极参加</w:t>
      </w:r>
      <w:r>
        <w:rPr>
          <w:rFonts w:hint="eastAsia" w:ascii="仿宋_GB2312" w:hAnsi="仿宋_GB2312" w:eastAsia="仿宋_GB2312" w:cs="仿宋_GB2312"/>
          <w:sz w:val="32"/>
          <w:szCs w:val="32"/>
          <w:lang w:val="en-US" w:eastAsia="zh-CN"/>
        </w:rPr>
        <w:t>习近平新时代中国</w:t>
      </w:r>
      <w:r>
        <w:rPr>
          <w:rFonts w:hint="eastAsia" w:ascii="仿宋_GB2312" w:hAnsi="仿宋_GB2312" w:eastAsia="仿宋_GB2312" w:cs="仿宋_GB2312"/>
          <w:sz w:val="32"/>
          <w:szCs w:val="32"/>
        </w:rPr>
        <w:t>特色社会主义思想</w:t>
      </w:r>
      <w:r>
        <w:rPr>
          <w:rFonts w:hint="eastAsia" w:ascii="仿宋_GB2312" w:hAnsi="仿宋_GB2312" w:eastAsia="仿宋_GB2312" w:cs="仿宋_GB2312"/>
          <w:sz w:val="32"/>
          <w:szCs w:val="32"/>
          <w:lang w:val="en-US" w:eastAsia="zh-CN"/>
        </w:rPr>
        <w:t>主题教育、学院第四次党员代表大会、</w:t>
      </w:r>
      <w:r>
        <w:rPr>
          <w:rFonts w:hint="eastAsia" w:ascii="仿宋_GB2312" w:hAnsi="仿宋_GB2312" w:eastAsia="仿宋_GB2312" w:cs="仿宋_GB2312"/>
          <w:sz w:val="32"/>
          <w:szCs w:val="32"/>
        </w:rPr>
        <w:t>党委理论中心组学习、班子</w:t>
      </w:r>
      <w:r>
        <w:rPr>
          <w:rFonts w:hint="eastAsia" w:ascii="仿宋_GB2312" w:hAnsi="仿宋_GB2312" w:eastAsia="仿宋_GB2312" w:cs="仿宋_GB2312"/>
          <w:sz w:val="32"/>
          <w:szCs w:val="32"/>
          <w:lang w:val="en-US" w:eastAsia="zh-CN"/>
        </w:rPr>
        <w:t>专题</w:t>
      </w:r>
      <w:r>
        <w:rPr>
          <w:rFonts w:hint="eastAsia" w:ascii="仿宋_GB2312" w:hAnsi="仿宋_GB2312" w:eastAsia="仿宋_GB2312" w:cs="仿宋_GB2312"/>
          <w:sz w:val="32"/>
          <w:szCs w:val="32"/>
        </w:rPr>
        <w:t>民主生活会</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sz w:val="32"/>
          <w:szCs w:val="32"/>
        </w:rPr>
        <w:t>干部在线学习任务</w:t>
      </w:r>
      <w:r>
        <w:rPr>
          <w:rFonts w:hint="eastAsia" w:ascii="仿宋_GB2312" w:hAnsi="仿宋_GB2312" w:eastAsia="仿宋_GB2312" w:cs="仿宋_GB2312"/>
          <w:sz w:val="32"/>
          <w:szCs w:val="32"/>
          <w:lang w:eastAsia="zh-CN"/>
        </w:rPr>
        <w:t>、师德集中学习教育</w:t>
      </w:r>
      <w:r>
        <w:rPr>
          <w:rFonts w:hint="eastAsia" w:ascii="仿宋_GB2312" w:hAnsi="仿宋_GB2312" w:eastAsia="仿宋_GB2312" w:cs="仿宋_GB2312"/>
          <w:sz w:val="32"/>
          <w:szCs w:val="32"/>
          <w:lang w:val="en-US" w:eastAsia="zh-CN"/>
        </w:rPr>
        <w:t>任务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年民主生活会</w:t>
      </w:r>
      <w:r>
        <w:rPr>
          <w:rFonts w:hint="eastAsia" w:ascii="仿宋_GB2312" w:hAnsi="仿宋_GB2312" w:eastAsia="仿宋_GB2312" w:cs="仿宋_GB2312"/>
          <w:sz w:val="32"/>
          <w:szCs w:val="32"/>
          <w:lang w:val="en-US" w:eastAsia="zh-CN"/>
        </w:rPr>
        <w:t>和主题教育专题民主生活会</w:t>
      </w:r>
      <w:r>
        <w:rPr>
          <w:rFonts w:hint="eastAsia" w:ascii="仿宋_GB2312" w:hAnsi="仿宋_GB2312" w:eastAsia="仿宋_GB2312" w:cs="仿宋_GB2312"/>
          <w:sz w:val="32"/>
          <w:szCs w:val="32"/>
        </w:rPr>
        <w:t>查摆问题</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sz w:val="32"/>
          <w:szCs w:val="32"/>
        </w:rPr>
        <w:t>整改任务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坚持“用学术讲政治”，</w:t>
      </w:r>
      <w:r>
        <w:rPr>
          <w:rFonts w:hint="eastAsia" w:ascii="仿宋_GB2312" w:hAnsi="仿宋_GB2312" w:eastAsia="仿宋_GB2312" w:cs="仿宋_GB2312"/>
          <w:sz w:val="32"/>
          <w:szCs w:val="32"/>
          <w:lang w:val="en-US" w:eastAsia="zh-CN"/>
        </w:rPr>
        <w:t>强化理论研究，公开</w:t>
      </w:r>
      <w:r>
        <w:rPr>
          <w:rFonts w:hint="eastAsia" w:ascii="仿宋_GB2312" w:hAnsi="仿宋_GB2312" w:eastAsia="仿宋_GB2312" w:cs="仿宋_GB2312"/>
          <w:sz w:val="32"/>
          <w:szCs w:val="32"/>
        </w:rPr>
        <w:t>发表</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篇理论文章。党性修养</w:t>
      </w:r>
      <w:r>
        <w:rPr>
          <w:rFonts w:hint="eastAsia" w:ascii="仿宋_GB2312" w:hAnsi="仿宋_GB2312" w:eastAsia="仿宋_GB2312" w:cs="仿宋_GB2312"/>
          <w:sz w:val="32"/>
          <w:szCs w:val="32"/>
          <w:lang w:val="en-US" w:eastAsia="zh-CN"/>
        </w:rPr>
        <w:t>持续</w:t>
      </w:r>
      <w:r>
        <w:rPr>
          <w:rFonts w:hint="eastAsia" w:ascii="仿宋_GB2312" w:hAnsi="仿宋_GB2312" w:eastAsia="仿宋_GB2312" w:cs="仿宋_GB2312"/>
          <w:sz w:val="32"/>
          <w:szCs w:val="32"/>
        </w:rPr>
        <w:t>提高，</w:t>
      </w:r>
      <w:r>
        <w:rPr>
          <w:rFonts w:hint="eastAsia" w:ascii="仿宋_GB2312" w:hAnsi="仿宋_GB2312" w:eastAsia="仿宋_GB2312" w:cs="仿宋_GB2312"/>
          <w:sz w:val="32"/>
          <w:szCs w:val="32"/>
          <w:lang w:val="en-US" w:eastAsia="zh-CN"/>
        </w:rPr>
        <w:t>坚定拥护</w:t>
      </w:r>
      <w:r>
        <w:rPr>
          <w:rFonts w:hint="eastAsia" w:ascii="仿宋_GB2312" w:hAnsi="仿宋_GB2312" w:eastAsia="仿宋_GB2312" w:cs="仿宋_GB2312"/>
          <w:sz w:val="32"/>
          <w:szCs w:val="32"/>
        </w:rPr>
        <w:t>“两个确立”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坚决做到</w:t>
      </w:r>
      <w:r>
        <w:rPr>
          <w:rFonts w:hint="eastAsia" w:ascii="仿宋_GB2312" w:hAnsi="仿宋_GB2312" w:eastAsia="仿宋_GB2312" w:cs="仿宋_GB2312"/>
          <w:sz w:val="32"/>
          <w:szCs w:val="32"/>
        </w:rPr>
        <w:t>“两个维护”。</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56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述职</w:t>
      </w:r>
    </w:p>
    <w:p>
      <w:pPr>
        <w:pStyle w:val="18"/>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lang w:eastAsia="zh-CN"/>
        </w:rPr>
        <w:t>（</w:t>
      </w:r>
      <w:r>
        <w:rPr>
          <w:rFonts w:hint="eastAsia" w:ascii="楷体_GB2312" w:hAnsi="楷体_GB2312" w:eastAsia="楷体_GB2312" w:cs="楷体_GB2312"/>
          <w:b w:val="0"/>
          <w:bCs w:val="0"/>
          <w:color w:val="000000"/>
          <w:sz w:val="32"/>
          <w:szCs w:val="32"/>
          <w:lang w:val="en-US" w:eastAsia="zh-CN"/>
        </w:rPr>
        <w:t>一）</w:t>
      </w:r>
      <w:r>
        <w:rPr>
          <w:rFonts w:hint="eastAsia" w:ascii="楷体_GB2312" w:hAnsi="楷体_GB2312" w:eastAsia="楷体_GB2312" w:cs="楷体_GB2312"/>
          <w:b w:val="0"/>
          <w:bCs w:val="0"/>
          <w:color w:val="000000"/>
          <w:sz w:val="32"/>
          <w:szCs w:val="32"/>
        </w:rPr>
        <w:t>年度重点目标任务完成情况</w:t>
      </w:r>
      <w:r>
        <w:rPr>
          <w:rFonts w:hint="eastAsia" w:ascii="楷体_GB2312" w:hAnsi="楷体_GB2312" w:eastAsia="楷体_GB2312" w:cs="楷体_GB2312"/>
          <w:b w:val="0"/>
          <w:bCs w:val="0"/>
          <w:color w:val="000000"/>
          <w:sz w:val="32"/>
          <w:szCs w:val="32"/>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000000"/>
          <w:sz w:val="32"/>
          <w:szCs w:val="32"/>
          <w:lang w:val="en-US" w:eastAsia="zh-CN"/>
        </w:rPr>
        <w:t>1.大力推进学科建设和有组织科研。</w:t>
      </w:r>
      <w:r>
        <w:rPr>
          <w:rFonts w:hint="eastAsia" w:ascii="仿宋_GB2312" w:hAnsi="仿宋_GB2312" w:eastAsia="仿宋_GB2312" w:cs="仿宋_GB2312"/>
          <w:sz w:val="32"/>
          <w:szCs w:val="32"/>
        </w:rPr>
        <w:t>坚持学科建设是学院事业的发展根基，</w:t>
      </w:r>
      <w:r>
        <w:rPr>
          <w:rFonts w:hint="eastAsia" w:ascii="仿宋_GB2312" w:hAnsi="仿宋_GB2312" w:eastAsia="仿宋_GB2312" w:cs="仿宋_GB2312"/>
          <w:sz w:val="32"/>
          <w:szCs w:val="32"/>
          <w:lang w:val="en-US" w:eastAsia="zh-CN"/>
        </w:rPr>
        <w:t>推动</w:t>
      </w:r>
      <w:r>
        <w:rPr>
          <w:rFonts w:hint="eastAsia" w:ascii="仿宋_GB2312" w:hAnsi="仿宋_GB2312" w:eastAsia="仿宋_GB2312" w:cs="仿宋_GB2312"/>
          <w:sz w:val="32"/>
          <w:szCs w:val="32"/>
        </w:rPr>
        <w:t>新一轮</w:t>
      </w:r>
      <w:r>
        <w:rPr>
          <w:rFonts w:hint="eastAsia" w:ascii="仿宋_GB2312" w:hAnsi="仿宋_GB2312" w:eastAsia="仿宋_GB2312" w:cs="仿宋_GB2312"/>
          <w:sz w:val="32"/>
          <w:szCs w:val="32"/>
          <w:lang w:val="en-US" w:eastAsia="zh-CN"/>
        </w:rPr>
        <w:t>19个</w:t>
      </w:r>
      <w:r>
        <w:rPr>
          <w:rFonts w:hint="eastAsia" w:ascii="仿宋_GB2312" w:hAnsi="仿宋_GB2312" w:eastAsia="仿宋_GB2312" w:cs="仿宋_GB2312"/>
          <w:sz w:val="32"/>
          <w:szCs w:val="32"/>
        </w:rPr>
        <w:t>学科创新平台</w:t>
      </w:r>
      <w:r>
        <w:rPr>
          <w:rFonts w:hint="eastAsia" w:ascii="仿宋_GB2312" w:hAnsi="仿宋_GB2312" w:eastAsia="仿宋_GB2312" w:cs="仿宋_GB2312"/>
          <w:sz w:val="32"/>
          <w:szCs w:val="32"/>
          <w:lang w:val="en-US" w:eastAsia="zh-CN"/>
        </w:rPr>
        <w:t>全部如期启动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加强学科建设</w:t>
      </w:r>
      <w:r>
        <w:rPr>
          <w:rFonts w:hint="eastAsia" w:ascii="仿宋_GB2312" w:hAnsi="仿宋_GB2312" w:eastAsia="仿宋_GB2312" w:cs="仿宋_GB2312"/>
          <w:sz w:val="32"/>
          <w:szCs w:val="32"/>
          <w:lang w:val="en-US" w:eastAsia="zh-CN"/>
        </w:rPr>
        <w:t>指导服务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召开系列“</w:t>
      </w:r>
      <w:r>
        <w:rPr>
          <w:rFonts w:hint="eastAsia" w:ascii="仿宋_GB2312" w:hAnsi="仿宋_GB2312" w:eastAsia="仿宋_GB2312" w:cs="仿宋_GB2312"/>
          <w:sz w:val="32"/>
          <w:szCs w:val="32"/>
          <w:lang w:eastAsia="zh-CN"/>
        </w:rPr>
        <w:t>主干学科”学科创新平台建设研讨会。</w:t>
      </w:r>
      <w:r>
        <w:rPr>
          <w:rFonts w:hint="eastAsia" w:ascii="仿宋_GB2312" w:hAnsi="仿宋_GB2312" w:eastAsia="仿宋_GB2312" w:cs="仿宋_GB2312"/>
          <w:sz w:val="32"/>
          <w:szCs w:val="32"/>
          <w:lang w:val="en-US" w:eastAsia="zh-CN"/>
        </w:rPr>
        <w:t>鼓励支持申报外部纵向</w:t>
      </w:r>
      <w:r>
        <w:rPr>
          <w:rFonts w:hint="eastAsia" w:ascii="仿宋_GB2312" w:hAnsi="仿宋_GB2312" w:eastAsia="仿宋_GB2312" w:cs="仿宋_GB2312"/>
          <w:sz w:val="32"/>
          <w:szCs w:val="32"/>
          <w:lang w:eastAsia="zh-CN"/>
        </w:rPr>
        <w:t>课题，</w:t>
      </w:r>
      <w:r>
        <w:rPr>
          <w:rFonts w:hint="eastAsia" w:ascii="仿宋_GB2312" w:hAnsi="仿宋_GB2312" w:eastAsia="仿宋_GB2312" w:cs="仿宋_GB2312"/>
          <w:sz w:val="32"/>
          <w:szCs w:val="32"/>
          <w:lang w:val="en-US" w:eastAsia="zh-CN"/>
        </w:rPr>
        <w:t>全院共申报46项，立项16项。优化院级课题管理，立项36项院级课题。加强课题过程管理，</w:t>
      </w:r>
      <w:r>
        <w:rPr>
          <w:rFonts w:hint="eastAsia" w:ascii="仿宋_GB2312" w:hAnsi="仿宋_GB2312" w:eastAsia="仿宋_GB2312" w:cs="仿宋_GB2312"/>
          <w:color w:val="auto"/>
          <w:sz w:val="32"/>
          <w:szCs w:val="32"/>
        </w:rPr>
        <w:t>组织</w:t>
      </w:r>
      <w:r>
        <w:rPr>
          <w:rFonts w:hint="eastAsia" w:ascii="仿宋_GB2312" w:hAnsi="仿宋_GB2312" w:eastAsia="仿宋_GB2312" w:cs="仿宋_GB2312"/>
          <w:color w:val="auto"/>
          <w:sz w:val="32"/>
          <w:szCs w:val="32"/>
          <w:lang w:val="en-US" w:eastAsia="zh-CN"/>
        </w:rPr>
        <w:t>多场</w:t>
      </w:r>
      <w:r>
        <w:rPr>
          <w:rFonts w:hint="eastAsia" w:ascii="仿宋_GB2312" w:hAnsi="仿宋_GB2312" w:eastAsia="仿宋_GB2312" w:cs="仿宋_GB2312"/>
          <w:color w:val="auto"/>
          <w:sz w:val="32"/>
          <w:szCs w:val="32"/>
        </w:rPr>
        <w:t>示范开题论证会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在研课题中期检查和展示</w:t>
      </w:r>
      <w:r>
        <w:rPr>
          <w:rFonts w:hint="eastAsia" w:ascii="仿宋_GB2312" w:hAnsi="仿宋_GB2312" w:eastAsia="仿宋_GB2312" w:cs="仿宋_GB2312"/>
          <w:color w:val="auto"/>
          <w:sz w:val="32"/>
          <w:szCs w:val="32"/>
          <w:lang w:eastAsia="zh-CN"/>
        </w:rPr>
        <w:t>交流</w:t>
      </w:r>
      <w:r>
        <w:rPr>
          <w:rFonts w:hint="eastAsia" w:ascii="仿宋_GB2312" w:hAnsi="仿宋_GB2312" w:eastAsia="仿宋_GB2312" w:cs="仿宋_GB2312"/>
          <w:color w:val="auto"/>
          <w:sz w:val="32"/>
          <w:szCs w:val="32"/>
          <w:lang w:val="en-US" w:eastAsia="zh-CN"/>
        </w:rPr>
        <w:t>会，如期结题课题数显著增加，优秀率有新提升，12项纵向课题通过结题验收，良好以上鉴定等级4项。充分发挥学术委员会作用，</w:t>
      </w:r>
      <w:r>
        <w:rPr>
          <w:rFonts w:hint="eastAsia" w:ascii="仿宋_GB2312" w:hAnsi="仿宋_GB2312" w:eastAsia="仿宋_GB2312" w:cs="仿宋_GB2312"/>
          <w:color w:val="auto"/>
          <w:sz w:val="32"/>
          <w:szCs w:val="32"/>
        </w:rPr>
        <w:t>召开八届学术委员会第七次工作会议</w:t>
      </w:r>
      <w:r>
        <w:rPr>
          <w:rFonts w:hint="eastAsia" w:ascii="仿宋_GB2312" w:hAnsi="仿宋_GB2312" w:eastAsia="仿宋_GB2312" w:cs="仿宋_GB2312"/>
          <w:color w:val="auto"/>
          <w:sz w:val="32"/>
          <w:szCs w:val="32"/>
          <w:lang w:val="en-US" w:eastAsia="zh-CN"/>
        </w:rPr>
        <w:t>并启动第九届学术委员会换届。</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00"/>
          <w:sz w:val="32"/>
          <w:szCs w:val="32"/>
          <w:lang w:val="en-US" w:eastAsia="zh-CN"/>
        </w:rPr>
        <w:t>2.繁荣发展学术文化热烈庆祝建院70周年。</w:t>
      </w:r>
      <w:r>
        <w:rPr>
          <w:rFonts w:hint="eastAsia" w:ascii="仿宋_GB2312" w:hAnsi="仿宋_GB2312" w:eastAsia="仿宋_GB2312" w:cs="仿宋_GB2312"/>
          <w:color w:val="auto"/>
          <w:sz w:val="32"/>
          <w:szCs w:val="32"/>
          <w:lang w:val="en-US" w:eastAsia="zh-CN"/>
        </w:rPr>
        <w:t>以“面</w:t>
      </w:r>
      <w:r>
        <w:rPr>
          <w:rFonts w:hint="eastAsia" w:ascii="仿宋_GB2312" w:hAnsi="仿宋_GB2312" w:eastAsia="仿宋_GB2312" w:cs="仿宋_GB2312"/>
          <w:b w:val="0"/>
          <w:bCs w:val="0"/>
          <w:color w:val="auto"/>
          <w:sz w:val="32"/>
          <w:szCs w:val="32"/>
          <w:lang w:val="en-US" w:eastAsia="zh-CN"/>
        </w:rPr>
        <w:t>向中国式现代化的高质量教师学习”为主题组织召开第三届教师学习与专业发展国际研讨会，来自国内外近500人现场参会，线上参会近万人次，《光明日报》等中央媒体进行了报道。大兴调查研究之风，以“有组织科研促进高质量发展”为题开展高校调研、聚焦弘扬“教育家精神”赴上海开展调研、“向鲜活的教育实践学习”开展乡村教育发展调研。落实教育评价改革，完成学院2021—2022年优秀科研成果评选，25项优秀成果获得表彰。多渠道宣传推广优秀科研成果，首次组团参加第六届教博会，8项成果经过评审受邀参展。编写《科研快报》3期，组织优秀研究成果发布会并在学院公</w:t>
      </w:r>
      <w:r>
        <w:rPr>
          <w:rFonts w:hint="eastAsia" w:ascii="仿宋_GB2312" w:hAnsi="仿宋_GB2312" w:eastAsia="仿宋_GB2312" w:cs="仿宋_GB2312"/>
          <w:b w:val="0"/>
          <w:bCs w:val="0"/>
          <w:color w:val="auto"/>
          <w:sz w:val="32"/>
          <w:szCs w:val="32"/>
          <w:shd w:val="clear" w:fill="FFFFFF"/>
          <w:lang w:val="en-US" w:eastAsia="zh-CN"/>
        </w:rPr>
        <w:t>微</w:t>
      </w:r>
      <w:r>
        <w:rPr>
          <w:rFonts w:hint="eastAsia" w:ascii="仿宋_GB2312" w:hAnsi="仿宋_GB2312" w:eastAsia="仿宋_GB2312" w:cs="仿宋_GB2312"/>
          <w:b w:val="0"/>
          <w:bCs w:val="0"/>
          <w:color w:val="auto"/>
          <w:sz w:val="32"/>
          <w:szCs w:val="32"/>
          <w:lang w:val="en-US" w:eastAsia="zh-CN"/>
        </w:rPr>
        <w:t>不定期发布。持续组织“C</w:t>
      </w:r>
      <w:r>
        <w:rPr>
          <w:rFonts w:hint="eastAsia" w:ascii="仿宋_GB2312" w:hAnsi="仿宋_GB2312" w:eastAsia="仿宋_GB2312" w:cs="仿宋_GB2312"/>
          <w:b w:val="0"/>
          <w:bCs w:val="0"/>
          <w:color w:val="auto"/>
          <w:sz w:val="32"/>
          <w:szCs w:val="32"/>
          <w:shd w:val="clear" w:fill="FFFFFF"/>
          <w:lang w:val="en-US" w:eastAsia="zh-CN"/>
        </w:rPr>
        <w:t>刊</w:t>
      </w:r>
      <w:r>
        <w:rPr>
          <w:rFonts w:hint="eastAsia" w:ascii="仿宋_GB2312" w:hAnsi="仿宋_GB2312" w:eastAsia="仿宋_GB2312" w:cs="仿宋_GB2312"/>
          <w:b w:val="0"/>
          <w:bCs w:val="0"/>
          <w:color w:val="auto"/>
          <w:sz w:val="32"/>
          <w:szCs w:val="32"/>
          <w:lang w:val="en-US" w:eastAsia="zh-CN"/>
        </w:rPr>
        <w:t>主编进学院”（2场）、“先锋”青年博士讲座（3场）等系列品牌学术活动。</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00"/>
          <w:sz w:val="32"/>
          <w:szCs w:val="32"/>
          <w:lang w:val="en-US" w:eastAsia="zh-CN"/>
        </w:rPr>
        <w:t>3.着力提高</w:t>
      </w:r>
      <w:r>
        <w:rPr>
          <w:rFonts w:hint="eastAsia" w:ascii="仿宋_GB2312" w:hAnsi="仿宋_GB2312" w:eastAsia="仿宋_GB2312" w:cs="仿宋_GB2312"/>
          <w:b/>
          <w:bCs/>
          <w:color w:val="000000"/>
          <w:sz w:val="32"/>
          <w:szCs w:val="32"/>
        </w:rPr>
        <w:t>学术资源部服务</w:t>
      </w:r>
      <w:r>
        <w:rPr>
          <w:rFonts w:hint="eastAsia" w:ascii="仿宋_GB2312" w:hAnsi="仿宋_GB2312" w:eastAsia="仿宋_GB2312" w:cs="仿宋_GB2312"/>
          <w:b/>
          <w:bCs/>
          <w:color w:val="000000"/>
          <w:sz w:val="32"/>
          <w:szCs w:val="32"/>
          <w:lang w:val="en-US" w:eastAsia="zh-CN"/>
        </w:rPr>
        <w:t>中心工作能力</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sz w:val="32"/>
          <w:szCs w:val="32"/>
        </w:rPr>
        <w:t>指导</w:t>
      </w:r>
      <w:r>
        <w:rPr>
          <w:rFonts w:hint="eastAsia" w:ascii="仿宋_GB2312" w:hAnsi="仿宋_GB2312" w:eastAsia="仿宋_GB2312" w:cs="仿宋_GB2312"/>
          <w:sz w:val="32"/>
          <w:szCs w:val="32"/>
          <w:lang w:val="en-US" w:eastAsia="zh-CN"/>
        </w:rPr>
        <w:t>期刊社</w:t>
      </w:r>
      <w:r>
        <w:rPr>
          <w:rFonts w:hint="eastAsia" w:ascii="仿宋_GB2312" w:hAnsi="仿宋_GB2312" w:eastAsia="仿宋_GB2312" w:cs="仿宋_GB2312"/>
          <w:sz w:val="32"/>
          <w:szCs w:val="32"/>
        </w:rPr>
        <w:t>强化选题策划，加强终审把关，</w:t>
      </w:r>
      <w:r>
        <w:rPr>
          <w:rFonts w:hint="eastAsia" w:ascii="仿宋_GB2312" w:hAnsi="仿宋_GB2312" w:eastAsia="仿宋_GB2312" w:cs="仿宋_GB2312"/>
          <w:sz w:val="32"/>
          <w:szCs w:val="32"/>
          <w:lang w:val="en-US" w:eastAsia="zh-CN"/>
        </w:rPr>
        <w:t>按时</w:t>
      </w:r>
      <w:r>
        <w:rPr>
          <w:rFonts w:hint="eastAsia" w:ascii="仿宋_GB2312" w:hAnsi="仿宋_GB2312" w:eastAsia="仿宋_GB2312" w:cs="仿宋_GB2312"/>
          <w:sz w:val="32"/>
          <w:szCs w:val="32"/>
        </w:rPr>
        <w:t>完成《学报</w:t>
      </w:r>
      <w:r>
        <w:rPr>
          <w:rFonts w:hint="eastAsia" w:ascii="仿宋_GB2312" w:hAnsi="仿宋_GB2312" w:eastAsia="仿宋_GB2312" w:cs="仿宋_GB2312"/>
          <w:sz w:val="32"/>
          <w:szCs w:val="32"/>
          <w:shd w:val="clear" w:fill="FFFFFF"/>
          <w:lang w:eastAsia="zh-CN"/>
        </w:rPr>
        <w:t>》《</w:t>
      </w:r>
      <w:r>
        <w:rPr>
          <w:rFonts w:hint="eastAsia" w:ascii="仿宋_GB2312" w:hAnsi="仿宋_GB2312" w:eastAsia="仿宋_GB2312" w:cs="仿宋_GB2312"/>
          <w:sz w:val="32"/>
          <w:szCs w:val="32"/>
        </w:rPr>
        <w:t>教师发展研究》</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sz w:val="32"/>
          <w:szCs w:val="32"/>
        </w:rPr>
        <w:t>出版</w:t>
      </w:r>
      <w:r>
        <w:rPr>
          <w:rFonts w:hint="eastAsia" w:ascii="仿宋_GB2312" w:hAnsi="仿宋_GB2312" w:eastAsia="仿宋_GB2312" w:cs="仿宋_GB2312"/>
          <w:sz w:val="32"/>
          <w:szCs w:val="32"/>
          <w:lang w:val="en-US" w:eastAsia="zh-CN"/>
        </w:rPr>
        <w:t>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两刊在《中国学术期刊影响因子年报》中的影响因子持续上升，“人民教育家”于</w:t>
      </w:r>
      <w:r>
        <w:rPr>
          <w:rFonts w:hint="eastAsia" w:ascii="仿宋_GB2312" w:hAnsi="仿宋_GB2312" w:eastAsia="仿宋_GB2312" w:cs="仿宋_GB2312"/>
          <w:sz w:val="32"/>
          <w:szCs w:val="32"/>
          <w:shd w:val="clear" w:fill="FFFFFF"/>
          <w:lang w:val="en-US" w:eastAsia="zh-CN"/>
        </w:rPr>
        <w:t>漪</w:t>
      </w:r>
      <w:r>
        <w:rPr>
          <w:rFonts w:hint="eastAsia" w:ascii="仿宋_GB2312" w:hAnsi="仿宋_GB2312" w:eastAsia="仿宋_GB2312" w:cs="仿宋_GB2312"/>
          <w:sz w:val="32"/>
          <w:szCs w:val="32"/>
          <w:lang w:val="en-US" w:eastAsia="zh-CN"/>
        </w:rPr>
        <w:t>高度评价</w:t>
      </w:r>
      <w:r>
        <w:rPr>
          <w:rFonts w:hint="eastAsia" w:ascii="仿宋_GB2312" w:hAnsi="仿宋_GB2312" w:eastAsia="仿宋_GB2312" w:cs="仿宋_GB2312"/>
          <w:sz w:val="32"/>
          <w:szCs w:val="32"/>
        </w:rPr>
        <w:t>《教师发展研究》</w:t>
      </w:r>
      <w:r>
        <w:rPr>
          <w:rFonts w:hint="eastAsia" w:ascii="仿宋_GB2312" w:hAnsi="仿宋_GB2312" w:eastAsia="仿宋_GB2312" w:cs="仿宋_GB2312"/>
          <w:sz w:val="32"/>
          <w:szCs w:val="32"/>
          <w:lang w:val="en-US" w:eastAsia="zh-CN"/>
        </w:rPr>
        <w:t>并题词鼓励。在市委宣传部组织的北京地区报纸期刊社会效益考核评价工作中，两刊考核结果均为优秀。持续提高《北京教育丛书》工作水平，组织完成10部丛书的组稿、初审和编辑修改工作，配合各区开展“</w:t>
      </w:r>
      <w:r>
        <w:rPr>
          <w:rFonts w:hint="eastAsia" w:ascii="仿宋_GB2312" w:hAnsi="仿宋_GB2312" w:eastAsia="仿宋_GB2312" w:cs="仿宋_GB2312"/>
          <w:sz w:val="32"/>
          <w:szCs w:val="32"/>
          <w:shd w:val="clear" w:fill="FFFFFF"/>
          <w:lang w:val="en-US" w:eastAsia="zh-CN"/>
        </w:rPr>
        <w:t>读</w:t>
      </w:r>
      <w:r>
        <w:rPr>
          <w:rFonts w:hint="eastAsia" w:ascii="仿宋_GB2312" w:hAnsi="仿宋_GB2312" w:eastAsia="仿宋_GB2312" w:cs="仿宋_GB2312"/>
          <w:sz w:val="32"/>
          <w:szCs w:val="32"/>
          <w:lang w:val="en-US" w:eastAsia="zh-CN"/>
        </w:rPr>
        <w:t>用丛书”活动以及学院培训工作，累计赠书8000余册。</w:t>
      </w:r>
      <w:r>
        <w:rPr>
          <w:rFonts w:hint="eastAsia" w:ascii="仿宋_GB2312" w:hAnsi="仿宋_GB2312" w:eastAsia="仿宋_GB2312" w:cs="仿宋_GB2312"/>
          <w:sz w:val="32"/>
          <w:szCs w:val="32"/>
        </w:rPr>
        <w:t>督促</w:t>
      </w:r>
      <w:r>
        <w:rPr>
          <w:rFonts w:hint="eastAsia" w:ascii="仿宋_GB2312" w:hAnsi="仿宋_GB2312" w:eastAsia="仿宋_GB2312" w:cs="仿宋_GB2312"/>
          <w:sz w:val="32"/>
          <w:szCs w:val="32"/>
          <w:lang w:val="en-US" w:eastAsia="zh-CN"/>
        </w:rPr>
        <w:t>支部</w:t>
      </w:r>
      <w:r>
        <w:rPr>
          <w:rFonts w:hint="eastAsia" w:ascii="仿宋_GB2312" w:hAnsi="仿宋_GB2312" w:eastAsia="仿宋_GB2312" w:cs="仿宋_GB2312"/>
          <w:kern w:val="0"/>
          <w:sz w:val="32"/>
          <w:szCs w:val="32"/>
          <w:lang w:val="en-US" w:eastAsia="zh-CN"/>
        </w:rPr>
        <w:t>落实巡察整改和审计整改意见，</w:t>
      </w:r>
      <w:r>
        <w:rPr>
          <w:rFonts w:hint="eastAsia" w:ascii="仿宋_GB2312" w:hAnsi="仿宋_GB2312" w:eastAsia="仿宋_GB2312" w:cs="仿宋_GB2312"/>
          <w:sz w:val="32"/>
          <w:szCs w:val="32"/>
          <w:lang w:val="en-US" w:eastAsia="zh-CN"/>
        </w:rPr>
        <w:t>整改工作完成，教职工精神面貌更加积极向上。</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val="en-US" w:eastAsia="zh-CN"/>
        </w:rPr>
        <w:t>4.全面</w:t>
      </w:r>
      <w:r>
        <w:rPr>
          <w:rFonts w:hint="eastAsia" w:ascii="仿宋_GB2312" w:hAnsi="仿宋_GB2312" w:eastAsia="仿宋_GB2312" w:cs="仿宋_GB2312"/>
          <w:b/>
          <w:bCs/>
          <w:color w:val="000000"/>
          <w:sz w:val="32"/>
          <w:szCs w:val="32"/>
        </w:rPr>
        <w:t>推进</w:t>
      </w:r>
      <w:r>
        <w:rPr>
          <w:rFonts w:hint="eastAsia" w:ascii="仿宋_GB2312" w:hAnsi="仿宋_GB2312" w:eastAsia="仿宋_GB2312" w:cs="仿宋_GB2312"/>
          <w:b/>
          <w:bCs/>
          <w:color w:val="000000"/>
          <w:sz w:val="32"/>
          <w:szCs w:val="32"/>
          <w:shd w:val="clear" w:fill="FFFFFF"/>
        </w:rPr>
        <w:t>思</w:t>
      </w:r>
      <w:r>
        <w:rPr>
          <w:rFonts w:hint="eastAsia" w:ascii="仿宋_GB2312" w:hAnsi="仿宋_GB2312" w:eastAsia="仿宋_GB2312" w:cs="仿宋_GB2312"/>
          <w:b/>
          <w:bCs/>
          <w:color w:val="000000"/>
          <w:sz w:val="32"/>
          <w:szCs w:val="32"/>
        </w:rPr>
        <w:t>政学院</w:t>
      </w:r>
      <w:r>
        <w:rPr>
          <w:rFonts w:hint="eastAsia" w:ascii="仿宋_GB2312" w:hAnsi="仿宋_GB2312" w:eastAsia="仿宋_GB2312" w:cs="仿宋_GB2312"/>
          <w:b/>
          <w:bCs/>
          <w:color w:val="000000"/>
          <w:sz w:val="32"/>
          <w:szCs w:val="32"/>
          <w:lang w:val="en-US" w:eastAsia="zh-CN"/>
        </w:rPr>
        <w:t>高质量发展</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sz w:val="32"/>
          <w:szCs w:val="32"/>
          <w:lang w:val="en-US" w:eastAsia="zh-CN"/>
        </w:rPr>
        <w:t>督促</w:t>
      </w:r>
      <w:r>
        <w:rPr>
          <w:rFonts w:hint="eastAsia" w:ascii="仿宋_GB2312" w:hAnsi="仿宋_GB2312" w:eastAsia="仿宋_GB2312" w:cs="仿宋_GB2312"/>
          <w:sz w:val="32"/>
          <w:szCs w:val="32"/>
          <w:shd w:val="clear" w:fill="FFFFFF"/>
          <w:lang w:val="en-US" w:eastAsia="zh-CN"/>
        </w:rPr>
        <w:t>思</w:t>
      </w:r>
      <w:r>
        <w:rPr>
          <w:rFonts w:hint="eastAsia" w:ascii="仿宋_GB2312" w:hAnsi="仿宋_GB2312" w:eastAsia="仿宋_GB2312" w:cs="仿宋_GB2312"/>
          <w:sz w:val="32"/>
          <w:szCs w:val="32"/>
          <w:lang w:val="en-US" w:eastAsia="zh-CN"/>
        </w:rPr>
        <w:t>政学院坚定“政治立院、改革强院、科研兴院、从严治院”办院思路，高质量实施市级培训项目，积极承担国培、</w:t>
      </w:r>
      <w:r>
        <w:rPr>
          <w:rFonts w:hint="eastAsia" w:ascii="仿宋_GB2312" w:hAnsi="仿宋_GB2312" w:eastAsia="仿宋_GB2312" w:cs="仿宋_GB2312"/>
          <w:sz w:val="32"/>
          <w:szCs w:val="32"/>
          <w:shd w:val="clear" w:fill="FFFFFF"/>
          <w:lang w:val="en-US" w:eastAsia="zh-CN"/>
        </w:rPr>
        <w:t>援培</w:t>
      </w:r>
      <w:r>
        <w:rPr>
          <w:rFonts w:hint="eastAsia" w:ascii="仿宋_GB2312" w:hAnsi="仿宋_GB2312" w:eastAsia="仿宋_GB2312" w:cs="仿宋_GB2312"/>
          <w:sz w:val="32"/>
          <w:szCs w:val="32"/>
          <w:lang w:val="en-US" w:eastAsia="zh-CN"/>
        </w:rPr>
        <w:t>、委培与合作培训，以首善标准开发市级思政公共必修课。完成市教委“德育、班队会、心理健康教育、家校协同育人活动设计方案”评审工作。完成培训项目共27项，“学生心理健康问题的评估与指导”研修课程获得听课的市委常委充分肯定。加强“三进”研究中心建设，优化教师招聘和培训工作，持续完善内部管理制度，教职工思想政治素质、师德师风素养和教书育人能力全面提升</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shd w:val="clear" w:fill="FFFFFF"/>
          <w:lang w:val="en-US" w:eastAsia="zh-CN"/>
        </w:rPr>
        <w:t>思政</w:t>
      </w:r>
      <w:r>
        <w:rPr>
          <w:rFonts w:hint="eastAsia" w:ascii="仿宋_GB2312" w:hAnsi="仿宋_GB2312" w:eastAsia="仿宋_GB2312" w:cs="仿宋_GB2312"/>
          <w:b w:val="0"/>
          <w:bCs w:val="0"/>
          <w:color w:val="auto"/>
          <w:sz w:val="32"/>
          <w:szCs w:val="32"/>
          <w:lang w:val="en-US" w:eastAsia="zh-CN"/>
        </w:rPr>
        <w:t>大家谈”“三进”研究中心教学研讨会等活动受到主流媒体关注报道。</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val="en-US" w:eastAsia="zh-CN"/>
        </w:rPr>
        <w:t>5.支持北京市教师发展中心高水平履职尽责。</w:t>
      </w:r>
      <w:r>
        <w:rPr>
          <w:rFonts w:hint="eastAsia" w:ascii="仿宋_GB2312" w:hAnsi="仿宋_GB2312" w:eastAsia="仿宋_GB2312" w:cs="仿宋_GB2312"/>
          <w:sz w:val="32"/>
          <w:szCs w:val="32"/>
          <w:lang w:val="en-US" w:eastAsia="zh-CN"/>
        </w:rPr>
        <w:t>加强工作调研和协调，支持中心高质量完成市委教工委、市教委部署的人事人才管理、评审评选和干部教师培训工作。顺利完成2023年度北京市中小学正高级教师、中等职业学校教师、高等学校教师、政工师职称评审；第三批北京市中小学特级校长评审；北京市特级教师评选评审；北京市学科带头人、骨干教师和骨干班主任评选评审的组织保障工作。全年依法依规认定各级各类教师资格23609人。推动市级教育系统干部教师培训、着力加强市属高校和职业院校教师培训。《北京市基础教育干部教师培训发展报告（2021-2022）》、北京市教师发展研究课题首次发布。中心正式迁入新址，办公条件持续优化。</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val="en-US" w:eastAsia="zh-CN"/>
        </w:rPr>
        <w:t>6.</w:t>
      </w:r>
      <w:r>
        <w:rPr>
          <w:rFonts w:hint="eastAsia" w:ascii="仿宋_GB2312" w:hAnsi="仿宋_GB2312" w:eastAsia="仿宋_GB2312" w:cs="仿宋_GB2312"/>
          <w:b/>
          <w:bCs/>
          <w:color w:val="000000"/>
          <w:sz w:val="32"/>
          <w:szCs w:val="32"/>
        </w:rPr>
        <w:t>积极履行</w:t>
      </w:r>
      <w:r>
        <w:rPr>
          <w:rFonts w:hint="eastAsia" w:ascii="仿宋_GB2312" w:hAnsi="仿宋_GB2312" w:eastAsia="仿宋_GB2312" w:cs="仿宋_GB2312"/>
          <w:b/>
          <w:bCs/>
          <w:color w:val="000000"/>
          <w:sz w:val="32"/>
          <w:szCs w:val="32"/>
          <w:lang w:val="en-US" w:eastAsia="zh-CN"/>
        </w:rPr>
        <w:t>意识形态管理和抓基层党建责任</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sz w:val="32"/>
          <w:szCs w:val="32"/>
          <w:lang w:val="en-US" w:eastAsia="zh-CN"/>
        </w:rPr>
        <w:t>加强对课题、讲座、研讨会的意识形态把关，认真做好《学报》《教师发展研究》《北京教育丛书》的内容审核。</w:t>
      </w:r>
      <w:r>
        <w:rPr>
          <w:rFonts w:hint="eastAsia" w:ascii="仿宋_GB2312" w:hAnsi="仿宋_GB2312" w:eastAsia="仿宋_GB2312" w:cs="仿宋_GB2312"/>
          <w:sz w:val="32"/>
          <w:szCs w:val="32"/>
        </w:rPr>
        <w:t>积极参加双重组织生活会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强化创新理论武装，</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党的二十大精神宣讲</w:t>
      </w:r>
      <w:r>
        <w:rPr>
          <w:rFonts w:hint="eastAsia" w:ascii="仿宋_GB2312" w:hAnsi="仿宋_GB2312" w:eastAsia="仿宋_GB2312" w:cs="仿宋_GB2312"/>
          <w:sz w:val="32"/>
          <w:szCs w:val="32"/>
          <w:lang w:val="en-US" w:eastAsia="zh-CN"/>
        </w:rPr>
        <w:t>和督学，为科研处等部门讲党课。抓“关键少数”，</w:t>
      </w:r>
      <w:r>
        <w:rPr>
          <w:rFonts w:hint="eastAsia" w:ascii="仿宋_GB2312" w:hAnsi="仿宋_GB2312" w:eastAsia="仿宋_GB2312" w:cs="仿宋_GB2312"/>
          <w:sz w:val="32"/>
          <w:szCs w:val="32"/>
        </w:rPr>
        <w:t>督促分管联系部门领导和党组织履行党建主体责任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加强</w:t>
      </w:r>
      <w:r>
        <w:rPr>
          <w:rFonts w:hint="eastAsia" w:ascii="仿宋_GB2312" w:hAnsi="仿宋_GB2312" w:eastAsia="仿宋_GB2312" w:cs="仿宋_GB2312"/>
          <w:sz w:val="32"/>
          <w:szCs w:val="32"/>
        </w:rPr>
        <w:t>对中层干部的监督、教育、管理，</w:t>
      </w:r>
      <w:r>
        <w:rPr>
          <w:rFonts w:hint="eastAsia" w:ascii="仿宋_GB2312" w:hAnsi="仿宋_GB2312" w:eastAsia="仿宋_GB2312" w:cs="仿宋_GB2312"/>
          <w:sz w:val="32"/>
          <w:szCs w:val="32"/>
          <w:lang w:val="en-US" w:eastAsia="zh-CN"/>
        </w:rPr>
        <w:t>加强教职工</w:t>
      </w:r>
      <w:r>
        <w:rPr>
          <w:rFonts w:hint="eastAsia" w:ascii="仿宋_GB2312" w:hAnsi="仿宋_GB2312" w:eastAsia="仿宋_GB2312" w:cs="仿宋_GB2312"/>
          <w:sz w:val="32"/>
          <w:szCs w:val="32"/>
        </w:rPr>
        <w:t>日常管理，对存在的苗头性问题做到早提醒早纠正。</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 w:hAnsi="楷体" w:eastAsia="楷体" w:cs="楷体"/>
          <w:b w:val="0"/>
          <w:bCs w:val="0"/>
          <w:color w:val="000000"/>
          <w:sz w:val="32"/>
          <w:szCs w:val="32"/>
          <w:lang w:eastAsia="zh-CN"/>
        </w:rPr>
      </w:pPr>
      <w:r>
        <w:rPr>
          <w:rFonts w:hint="eastAsia" w:ascii="楷体" w:hAnsi="楷体" w:eastAsia="楷体" w:cs="楷体"/>
          <w:b w:val="0"/>
          <w:bCs w:val="0"/>
          <w:color w:val="000000"/>
          <w:sz w:val="32"/>
          <w:szCs w:val="32"/>
        </w:rPr>
        <w:t>（二）制度执行情况</w:t>
      </w:r>
    </w:p>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坚持党委领导下的校长负责制。落实《深化新时代教育评价改革总体方案》《北京市新时代基础教育强师计划实施方案》等决策部署。严格执行</w:t>
      </w:r>
      <w:r>
        <w:rPr>
          <w:rFonts w:hint="eastAsia" w:ascii="仿宋_GB2312" w:hAnsi="仿宋_GB2312" w:eastAsia="仿宋_GB2312" w:cs="仿宋_GB2312"/>
          <w:sz w:val="32"/>
          <w:szCs w:val="32"/>
          <w:lang w:val="en-US" w:eastAsia="zh-CN"/>
        </w:rPr>
        <w:t>党委会、院长办公会议事规则、</w:t>
      </w:r>
      <w:r>
        <w:rPr>
          <w:rFonts w:hint="eastAsia" w:ascii="仿宋_GB2312" w:hAnsi="仿宋_GB2312" w:eastAsia="仿宋_GB2312" w:cs="仿宋_GB2312"/>
          <w:sz w:val="32"/>
          <w:szCs w:val="32"/>
        </w:rPr>
        <w:t>“三重一大”决策制度、请示报告制度等</w:t>
      </w:r>
      <w:r>
        <w:rPr>
          <w:rFonts w:hint="eastAsia" w:ascii="仿宋_GB2312" w:hAnsi="仿宋_GB2312" w:eastAsia="仿宋_GB2312" w:cs="仿宋_GB2312"/>
          <w:sz w:val="32"/>
          <w:szCs w:val="32"/>
          <w:lang w:val="en-US" w:eastAsia="zh-CN"/>
        </w:rPr>
        <w:t>制度要求</w:t>
      </w:r>
      <w:r>
        <w:rPr>
          <w:rFonts w:hint="eastAsia" w:ascii="仿宋_GB2312" w:hAnsi="仿宋_GB2312" w:eastAsia="仿宋_GB2312" w:cs="仿宋_GB2312"/>
          <w:sz w:val="32"/>
          <w:szCs w:val="32"/>
        </w:rPr>
        <w:t>。坚持依法管理，严格执行院科研、财</w:t>
      </w:r>
      <w:r>
        <w:rPr>
          <w:rFonts w:hint="eastAsia" w:ascii="仿宋_GB2312" w:hAnsi="仿宋_GB2312" w:eastAsia="仿宋_GB2312" w:cs="仿宋_GB2312"/>
          <w:sz w:val="32"/>
          <w:szCs w:val="32"/>
          <w:lang w:val="en-US" w:eastAsia="zh-CN"/>
        </w:rPr>
        <w:t>资</w:t>
      </w:r>
      <w:r>
        <w:rPr>
          <w:rFonts w:hint="eastAsia" w:ascii="仿宋_GB2312" w:hAnsi="仿宋_GB2312" w:eastAsia="仿宋_GB2312" w:cs="仿宋_GB2312"/>
          <w:sz w:val="32"/>
          <w:szCs w:val="32"/>
        </w:rPr>
        <w:t>、人事、</w:t>
      </w:r>
      <w:r>
        <w:rPr>
          <w:rFonts w:hint="eastAsia" w:ascii="仿宋_GB2312" w:hAnsi="仿宋_GB2312" w:eastAsia="仿宋_GB2312" w:cs="仿宋_GB2312"/>
          <w:sz w:val="32"/>
          <w:szCs w:val="32"/>
          <w:lang w:val="en-US" w:eastAsia="zh-CN"/>
        </w:rPr>
        <w:t>外事</w:t>
      </w:r>
      <w:r>
        <w:rPr>
          <w:rFonts w:hint="eastAsia" w:ascii="仿宋_GB2312" w:hAnsi="仿宋_GB2312" w:eastAsia="仿宋_GB2312" w:cs="仿宋_GB2312"/>
          <w:sz w:val="32"/>
          <w:szCs w:val="32"/>
        </w:rPr>
        <w:t>管理等工作制度和工作程序。</w:t>
      </w:r>
    </w:p>
    <w:p>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150"/>
        <w:jc w:val="both"/>
        <w:textAlignment w:val="auto"/>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rPr>
        <w:t>（三）其他工作完成情况</w:t>
      </w:r>
    </w:p>
    <w:p>
      <w:pPr>
        <w:keepNext w:val="0"/>
        <w:keepLines w:val="0"/>
        <w:pageBreakBefore w:val="0"/>
        <w:widowControl/>
        <w:kinsoku/>
        <w:wordWrap/>
        <w:overflowPunct/>
        <w:topLinePunct w:val="0"/>
        <w:autoSpaceDE/>
        <w:autoSpaceDN/>
        <w:bidi w:val="0"/>
        <w:adjustRightInd/>
        <w:snapToGrid/>
        <w:spacing w:line="560" w:lineRule="exact"/>
        <w:ind w:left="0" w:leftChars="0" w:firstLine="803" w:firstLineChars="25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color w:val="000000"/>
          <w:sz w:val="32"/>
          <w:szCs w:val="32"/>
          <w:lang w:val="en-US" w:eastAsia="zh-CN"/>
        </w:rPr>
        <w:t>1.教学及思政课讲授。</w:t>
      </w:r>
      <w:r>
        <w:rPr>
          <w:rFonts w:hint="eastAsia" w:ascii="仿宋_GB2312" w:hAnsi="仿宋_GB2312" w:eastAsia="仿宋_GB2312" w:cs="仿宋_GB2312"/>
          <w:b w:val="0"/>
          <w:bCs/>
          <w:sz w:val="32"/>
          <w:szCs w:val="32"/>
          <w:lang w:val="en-US" w:eastAsia="zh-CN"/>
        </w:rPr>
        <w:t>担任教育部新时代中小学名师名校长培养计划（2022—2025）北京教育学院基地首席导师、北京市中小学卓越校长培养项目、北京市新时代中小学名校长发展工程北京教育学院培养基地理论导师。先后为学院国培计划河北省小学道德与法治骨干教师深度研修项目班、“澳门学校领导储备人才培训课程</w:t>
      </w:r>
      <w:r>
        <w:rPr>
          <w:rFonts w:hint="eastAsia" w:ascii="仿宋_GB2312" w:hAnsi="仿宋_GB2312" w:eastAsia="仿宋_GB2312" w:cs="仿宋_GB2312"/>
          <w:b w:val="0"/>
          <w:bCs/>
          <w:sz w:val="32"/>
          <w:szCs w:val="32"/>
          <w:shd w:val="clear" w:fill="FFFFFF"/>
          <w:lang w:val="en-US" w:eastAsia="zh-CN"/>
        </w:rPr>
        <w:t>”等五个</w:t>
      </w:r>
      <w:r>
        <w:rPr>
          <w:rFonts w:hint="eastAsia" w:ascii="仿宋_GB2312" w:hAnsi="仿宋_GB2312" w:eastAsia="仿宋_GB2312" w:cs="仿宋_GB2312"/>
          <w:b w:val="0"/>
          <w:bCs/>
          <w:sz w:val="32"/>
          <w:szCs w:val="32"/>
          <w:lang w:val="en-US" w:eastAsia="zh-CN"/>
        </w:rPr>
        <w:t>项目上“形势与政策</w:t>
      </w:r>
      <w:r>
        <w:rPr>
          <w:rFonts w:hint="eastAsia" w:ascii="仿宋_GB2312" w:hAnsi="仿宋_GB2312" w:eastAsia="仿宋_GB2312" w:cs="仿宋_GB2312"/>
          <w:b w:val="0"/>
          <w:bCs/>
          <w:sz w:val="32"/>
          <w:szCs w:val="32"/>
          <w:shd w:val="clear" w:fill="FFFFFF"/>
          <w:lang w:val="en-US" w:eastAsia="zh-CN"/>
        </w:rPr>
        <w:t>”</w:t>
      </w:r>
      <w:r>
        <w:rPr>
          <w:rFonts w:hint="eastAsia" w:ascii="仿宋_GB2312" w:hAnsi="仿宋_GB2312" w:eastAsia="仿宋_GB2312" w:cs="仿宋_GB2312"/>
          <w:b w:val="0"/>
          <w:bCs/>
          <w:sz w:val="32"/>
          <w:szCs w:val="32"/>
          <w:lang w:val="en-US" w:eastAsia="zh-CN"/>
        </w:rPr>
        <w:t>思政课15课时。</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sz w:val="32"/>
          <w:szCs w:val="32"/>
          <w:lang w:val="en-US"/>
        </w:rPr>
      </w:pPr>
      <w:r>
        <w:rPr>
          <w:rFonts w:hint="eastAsia" w:ascii="仿宋_GB2312" w:hAnsi="仿宋_GB2312" w:eastAsia="仿宋_GB2312" w:cs="仿宋_GB2312"/>
          <w:b/>
          <w:bCs/>
          <w:color w:val="000000"/>
          <w:sz w:val="32"/>
          <w:szCs w:val="32"/>
          <w:lang w:val="en-US" w:eastAsia="zh-CN"/>
        </w:rPr>
        <w:t>2.其他工作。</w:t>
      </w:r>
      <w:r>
        <w:rPr>
          <w:rFonts w:hint="eastAsia" w:ascii="仿宋_GB2312" w:hAnsi="仿宋_GB2312" w:eastAsia="仿宋_GB2312" w:cs="仿宋_GB2312"/>
          <w:b w:val="0"/>
          <w:bCs/>
          <w:sz w:val="32"/>
          <w:szCs w:val="32"/>
          <w:lang w:val="en-US" w:eastAsia="zh-CN"/>
        </w:rPr>
        <w:t>受聘担任新一届北京市教育科学规划领导小组成员、丰台教育发展理事会首届理事会理事、北京外国语大学国际教育学院第二届专家咨询委员会委员，参与了相关咨询活动。担任北京市“</w:t>
      </w:r>
      <w:r>
        <w:rPr>
          <w:rFonts w:hint="eastAsia" w:ascii="仿宋_GB2312" w:hAnsi="仿宋_GB2312" w:eastAsia="仿宋_GB2312" w:cs="仿宋_GB2312"/>
          <w:sz w:val="32"/>
          <w:szCs w:val="32"/>
          <w:lang w:val="en-US" w:eastAsia="zh-CN"/>
        </w:rPr>
        <w:t>中考改革</w:t>
      </w:r>
      <w:r>
        <w:rPr>
          <w:rFonts w:hint="eastAsia" w:ascii="仿宋_GB2312" w:hAnsi="仿宋_GB2312" w:eastAsia="仿宋_GB2312" w:cs="仿宋_GB2312"/>
          <w:sz w:val="32"/>
          <w:szCs w:val="32"/>
          <w:shd w:val="clear" w:fill="FFFFFF"/>
          <w:lang w:val="en-US" w:eastAsia="zh-CN"/>
        </w:rPr>
        <w:t>月”</w:t>
      </w:r>
      <w:r>
        <w:rPr>
          <w:rFonts w:hint="eastAsia" w:ascii="仿宋_GB2312" w:hAnsi="仿宋_GB2312" w:eastAsia="仿宋_GB2312" w:cs="仿宋_GB2312"/>
          <w:sz w:val="32"/>
          <w:szCs w:val="32"/>
          <w:lang w:val="en-US" w:eastAsia="zh-CN"/>
        </w:rPr>
        <w:t>大调研学院调研组副组长</w:t>
      </w:r>
      <w:r>
        <w:rPr>
          <w:rFonts w:hint="eastAsia" w:ascii="仿宋_GB2312" w:hAnsi="仿宋_GB2312" w:eastAsia="仿宋_GB2312" w:cs="仿宋_GB2312"/>
          <w:sz w:val="32"/>
          <w:szCs w:val="32"/>
          <w:shd w:val="clear" w:fill="FFFFFF"/>
          <w:lang w:val="en-US" w:eastAsia="zh-CN"/>
        </w:rPr>
        <w:t>赴</w:t>
      </w:r>
      <w:r>
        <w:rPr>
          <w:rFonts w:hint="eastAsia" w:ascii="仿宋_GB2312" w:hAnsi="仿宋_GB2312" w:eastAsia="仿宋_GB2312" w:cs="仿宋_GB2312"/>
          <w:sz w:val="32"/>
          <w:szCs w:val="32"/>
          <w:lang w:val="en-US" w:eastAsia="zh-CN"/>
        </w:rPr>
        <w:t>三区开展调研。</w:t>
      </w:r>
      <w:r>
        <w:rPr>
          <w:rFonts w:hint="eastAsia" w:ascii="仿宋_GB2312" w:hAnsi="仿宋_GB2312" w:eastAsia="仿宋_GB2312" w:cs="仿宋_GB2312"/>
          <w:sz w:val="32"/>
          <w:szCs w:val="32"/>
        </w:rPr>
        <w:t>担任</w:t>
      </w:r>
      <w:r>
        <w:rPr>
          <w:rFonts w:hint="eastAsia" w:ascii="仿宋_GB2312" w:hAnsi="仿宋_GB2312" w:eastAsia="仿宋_GB2312" w:cs="仿宋_GB2312"/>
          <w:sz w:val="32"/>
          <w:szCs w:val="32"/>
          <w:lang w:val="en-US" w:eastAsia="zh-CN"/>
        </w:rPr>
        <w:t>市教委</w:t>
      </w:r>
      <w:r>
        <w:rPr>
          <w:rFonts w:hint="eastAsia" w:ascii="仿宋_GB2312" w:hAnsi="仿宋_GB2312" w:eastAsia="仿宋_GB2312" w:cs="仿宋_GB2312"/>
          <w:sz w:val="32"/>
          <w:szCs w:val="32"/>
        </w:rPr>
        <w:t>北京市中小学地方课程教材修订审核专家参与教材审查。</w:t>
      </w:r>
      <w:r>
        <w:rPr>
          <w:rFonts w:hint="eastAsia" w:ascii="仿宋_GB2312" w:hAnsi="仿宋_GB2312" w:eastAsia="仿宋_GB2312" w:cs="仿宋_GB2312"/>
          <w:sz w:val="32"/>
          <w:szCs w:val="32"/>
          <w:lang w:val="en-US" w:eastAsia="zh-CN"/>
        </w:rPr>
        <w:t>受邀</w:t>
      </w:r>
      <w:r>
        <w:rPr>
          <w:rFonts w:hint="eastAsia" w:ascii="仿宋_GB2312" w:hAnsi="仿宋_GB2312" w:eastAsia="仿宋_GB2312" w:cs="仿宋_GB2312"/>
          <w:sz w:val="32"/>
          <w:szCs w:val="32"/>
        </w:rPr>
        <w:t>参加了</w:t>
      </w:r>
      <w:r>
        <w:rPr>
          <w:rFonts w:hint="eastAsia" w:ascii="仿宋_GB2312" w:hAnsi="仿宋_GB2312" w:eastAsia="仿宋_GB2312" w:cs="仿宋_GB2312"/>
          <w:sz w:val="32"/>
          <w:szCs w:val="32"/>
          <w:lang w:val="en-US" w:eastAsia="zh-CN"/>
        </w:rPr>
        <w:t>国家及北京市社科基金课题、</w:t>
      </w:r>
      <w:r>
        <w:rPr>
          <w:rFonts w:hint="eastAsia" w:ascii="仿宋_GB2312" w:hAnsi="仿宋_GB2312" w:eastAsia="仿宋_GB2312" w:cs="仿宋_GB2312"/>
          <w:sz w:val="32"/>
          <w:szCs w:val="32"/>
        </w:rPr>
        <w:t>全国及北京市教科规划课题评审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代表学院参加</w:t>
      </w:r>
      <w:r>
        <w:rPr>
          <w:rFonts w:hint="eastAsia" w:ascii="仿宋_GB2312" w:hAnsi="仿宋_GB2312" w:eastAsia="仿宋_GB2312" w:cs="仿宋_GB2312"/>
          <w:sz w:val="32"/>
          <w:szCs w:val="32"/>
        </w:rPr>
        <w:t>中澳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昆士兰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职业教育与培训圆桌会议</w:t>
      </w:r>
      <w:r>
        <w:rPr>
          <w:rFonts w:hint="eastAsia" w:ascii="仿宋_GB2312" w:hAnsi="仿宋_GB2312" w:eastAsia="仿宋_GB2312" w:cs="仿宋_GB2312"/>
          <w:sz w:val="32"/>
          <w:szCs w:val="32"/>
          <w:lang w:eastAsia="zh-CN"/>
        </w:rPr>
        <w:t>并作</w:t>
      </w:r>
      <w:r>
        <w:rPr>
          <w:rFonts w:hint="eastAsia" w:ascii="仿宋_GB2312" w:hAnsi="仿宋_GB2312" w:eastAsia="仿宋_GB2312" w:cs="仿宋_GB2312"/>
          <w:sz w:val="32"/>
          <w:szCs w:val="32"/>
          <w:lang w:val="en-US" w:eastAsia="zh-CN"/>
        </w:rPr>
        <w:t>主旨发言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带队完成芬兰、挪威教育出访任务。完成主持的</w:t>
      </w:r>
      <w:r>
        <w:rPr>
          <w:rFonts w:hint="eastAsia" w:ascii="仿宋_GB2312" w:hAnsi="仿宋_GB2312" w:eastAsia="仿宋_GB2312" w:cs="仿宋_GB2312"/>
          <w:sz w:val="32"/>
          <w:szCs w:val="32"/>
        </w:rPr>
        <w:t>北京市教育科学“十三五”规划重大课题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中高考改革背景下北京市教学、考试、招生一体化研究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结题鉴定，等级为优秀。</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56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述廉</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自觉执行中央八项规定，严格落实“三严三实”要求，切实</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rPr>
        <w:t>领导干部廉洁自律政策要求。没有群众反映、巡视反馈、组织约谈函询、问责的问题。</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四、存在的问题和不足</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学深悟透习近平新时代中国特色社会主义思想还有差距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运用党的创新理论指导工作推动实践能力还不强。主动求变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攻坚克难</w:t>
      </w:r>
      <w:r>
        <w:rPr>
          <w:rFonts w:hint="eastAsia" w:ascii="仿宋_GB2312" w:hAnsi="仿宋_GB2312" w:eastAsia="仿宋_GB2312" w:cs="仿宋_GB2312"/>
          <w:sz w:val="32"/>
          <w:szCs w:val="32"/>
        </w:rPr>
        <w:t>的意识需要</w:t>
      </w:r>
      <w:r>
        <w:rPr>
          <w:rFonts w:hint="eastAsia" w:ascii="仿宋_GB2312" w:hAnsi="仿宋_GB2312" w:eastAsia="仿宋_GB2312" w:cs="仿宋_GB2312"/>
          <w:sz w:val="32"/>
          <w:szCs w:val="32"/>
          <w:lang w:val="en-US" w:eastAsia="zh-CN"/>
        </w:rPr>
        <w:t>更加强烈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大兴调查研究之风、</w:t>
      </w:r>
      <w:r>
        <w:rPr>
          <w:rFonts w:hint="eastAsia" w:ascii="仿宋_GB2312" w:hAnsi="仿宋_GB2312" w:eastAsia="仿宋_GB2312" w:cs="仿宋_GB2312"/>
          <w:sz w:val="32"/>
          <w:szCs w:val="32"/>
        </w:rPr>
        <w:t>密切联系群众的作风</w:t>
      </w:r>
      <w:r>
        <w:rPr>
          <w:rFonts w:hint="eastAsia" w:ascii="仿宋_GB2312" w:hAnsi="仿宋_GB2312" w:eastAsia="仿宋_GB2312" w:cs="仿宋_GB2312"/>
          <w:sz w:val="32"/>
          <w:szCs w:val="32"/>
          <w:lang w:val="en-US" w:eastAsia="zh-CN"/>
        </w:rPr>
        <w:t>还要进一步增强</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w:t>
      </w:r>
      <w:r>
        <w:rPr>
          <w:rFonts w:hint="eastAsia" w:ascii="黑体" w:hAnsi="黑体" w:eastAsia="黑体" w:cs="黑体"/>
          <w:b w:val="0"/>
          <w:bCs/>
          <w:sz w:val="32"/>
          <w:szCs w:val="32"/>
          <w:lang w:val="en-US" w:eastAsia="zh-CN"/>
        </w:rPr>
        <w:t>2024</w:t>
      </w:r>
      <w:bookmarkStart w:id="0" w:name="_GoBack"/>
      <w:bookmarkEnd w:id="0"/>
      <w:r>
        <w:rPr>
          <w:rFonts w:hint="eastAsia" w:ascii="黑体" w:hAnsi="黑体" w:eastAsia="黑体" w:cs="黑体"/>
          <w:b w:val="0"/>
          <w:bCs/>
          <w:sz w:val="32"/>
          <w:szCs w:val="32"/>
          <w:lang w:val="en-US" w:eastAsia="zh-CN"/>
        </w:rPr>
        <w:t>年</w:t>
      </w:r>
      <w:r>
        <w:rPr>
          <w:rFonts w:hint="eastAsia" w:ascii="黑体" w:hAnsi="黑体" w:eastAsia="黑体" w:cs="黑体"/>
          <w:b w:val="0"/>
          <w:bCs/>
          <w:sz w:val="32"/>
          <w:szCs w:val="32"/>
        </w:rPr>
        <w:t>工作主要思路和重点目标任务</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2024年是实施“十四五”规划的关键一年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我将以习近平新时代中国特色社会主义思想为指导，</w:t>
      </w:r>
      <w:r>
        <w:rPr>
          <w:rFonts w:hint="eastAsia" w:ascii="仿宋_GB2312" w:hAnsi="仿宋_GB2312" w:eastAsia="仿宋_GB2312" w:cs="仿宋_GB2312"/>
          <w:sz w:val="32"/>
          <w:szCs w:val="32"/>
          <w:lang w:val="en-US" w:eastAsia="zh-CN"/>
        </w:rPr>
        <w:t>持续</w:t>
      </w:r>
      <w:r>
        <w:rPr>
          <w:rFonts w:hint="eastAsia" w:ascii="仿宋_GB2312" w:hAnsi="仿宋_GB2312" w:eastAsia="仿宋_GB2312" w:cs="仿宋_GB2312"/>
          <w:sz w:val="32"/>
          <w:szCs w:val="32"/>
        </w:rPr>
        <w:t>学习宣传贯彻党的二十大精神，落实教育部、市委教育工委市教委工作部署，在学院党委领导下，坚持稳中求进、以进促稳、先立后破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以高质量党建促进</w:t>
      </w:r>
      <w:r>
        <w:rPr>
          <w:rFonts w:hint="eastAsia" w:ascii="仿宋_GB2312" w:hAnsi="仿宋_GB2312" w:eastAsia="仿宋_GB2312" w:cs="仿宋_GB2312"/>
          <w:sz w:val="32"/>
          <w:szCs w:val="32"/>
          <w:lang w:eastAsia="zh-CN"/>
        </w:rPr>
        <w:t>高质量发展。</w:t>
      </w:r>
      <w:r>
        <w:rPr>
          <w:rFonts w:hint="eastAsia" w:ascii="仿宋_GB2312" w:hAnsi="仿宋_GB2312" w:eastAsia="仿宋_GB2312" w:cs="仿宋_GB2312"/>
          <w:sz w:val="32"/>
          <w:szCs w:val="32"/>
          <w:lang w:val="en-US" w:eastAsia="zh-CN"/>
        </w:rPr>
        <w:t>持续强化</w:t>
      </w:r>
      <w:r>
        <w:rPr>
          <w:rFonts w:hint="eastAsia" w:ascii="仿宋_GB2312" w:hAnsi="仿宋_GB2312" w:eastAsia="仿宋_GB2312" w:cs="仿宋_GB2312"/>
          <w:sz w:val="32"/>
          <w:szCs w:val="32"/>
        </w:rPr>
        <w:t>有组织科研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更好地发挥学科建设在</w:t>
      </w:r>
      <w:r>
        <w:rPr>
          <w:rFonts w:hint="eastAsia" w:ascii="仿宋_GB2312" w:hAnsi="仿宋_GB2312" w:eastAsia="仿宋_GB2312" w:cs="仿宋_GB2312"/>
          <w:sz w:val="32"/>
          <w:szCs w:val="32"/>
          <w:lang w:eastAsia="zh-CN"/>
        </w:rPr>
        <w:t>人才培养、队伍建设、科学研究、社会服务、国际交流</w:t>
      </w:r>
      <w:r>
        <w:rPr>
          <w:rFonts w:hint="eastAsia" w:ascii="仿宋_GB2312" w:hAnsi="仿宋_GB2312" w:eastAsia="仿宋_GB2312" w:cs="仿宋_GB2312"/>
          <w:sz w:val="32"/>
          <w:szCs w:val="32"/>
          <w:lang w:val="en-US" w:eastAsia="zh-CN"/>
        </w:rPr>
        <w:t>方面的基础性作用。推动学术资源部工作提质增效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推动图书馆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院史馆</w:t>
      </w:r>
      <w:r>
        <w:rPr>
          <w:rFonts w:hint="eastAsia" w:ascii="仿宋_GB2312" w:hAnsi="仿宋_GB2312" w:eastAsia="仿宋_GB2312" w:cs="仿宋_GB2312"/>
          <w:sz w:val="32"/>
          <w:szCs w:val="32"/>
        </w:rPr>
        <w:t>精品化、特色化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绿色</w:t>
      </w:r>
      <w:r>
        <w:rPr>
          <w:rFonts w:hint="eastAsia" w:ascii="仿宋_GB2312" w:hAnsi="仿宋_GB2312" w:eastAsia="仿宋_GB2312" w:cs="仿宋_GB2312"/>
          <w:sz w:val="32"/>
          <w:szCs w:val="32"/>
        </w:rPr>
        <w:t>发展，</w:t>
      </w:r>
      <w:r>
        <w:rPr>
          <w:rFonts w:hint="eastAsia" w:ascii="仿宋_GB2312" w:hAnsi="仿宋_GB2312" w:eastAsia="仿宋_GB2312" w:cs="仿宋_GB2312"/>
          <w:sz w:val="32"/>
          <w:szCs w:val="32"/>
          <w:lang w:val="en-US" w:eastAsia="zh-CN"/>
        </w:rPr>
        <w:t>推动</w:t>
      </w:r>
      <w:r>
        <w:rPr>
          <w:rFonts w:hint="eastAsia" w:ascii="仿宋_GB2312" w:hAnsi="仿宋_GB2312" w:eastAsia="仿宋_GB2312" w:cs="仿宋_GB2312"/>
          <w:sz w:val="32"/>
          <w:szCs w:val="32"/>
        </w:rPr>
        <w:t>《教师发展研究》《学报》《北京教育丛书》</w:t>
      </w:r>
      <w:r>
        <w:rPr>
          <w:rFonts w:hint="eastAsia" w:ascii="仿宋_GB2312" w:hAnsi="仿宋_GB2312" w:eastAsia="仿宋_GB2312" w:cs="仿宋_GB2312"/>
          <w:sz w:val="32"/>
          <w:szCs w:val="32"/>
          <w:lang w:val="en-US" w:eastAsia="zh-CN"/>
        </w:rPr>
        <w:t>加快提升专业影响力</w:t>
      </w:r>
      <w:r>
        <w:rPr>
          <w:rFonts w:hint="eastAsia" w:ascii="仿宋_GB2312" w:hAnsi="仿宋_GB2312" w:eastAsia="仿宋_GB2312" w:cs="仿宋_GB2312"/>
          <w:sz w:val="32"/>
          <w:szCs w:val="32"/>
        </w:rPr>
        <w:t>。推动北京市教师发展中心更好地履职尽责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按时高质量完成</w:t>
      </w:r>
      <w:r>
        <w:rPr>
          <w:rFonts w:hint="eastAsia" w:ascii="仿宋_GB2312" w:hAnsi="仿宋_GB2312" w:eastAsia="仿宋_GB2312" w:cs="仿宋_GB2312"/>
          <w:sz w:val="32"/>
          <w:szCs w:val="32"/>
          <w:lang w:val="en-US" w:eastAsia="zh-CN"/>
        </w:rPr>
        <w:t>上级部署</w:t>
      </w:r>
      <w:r>
        <w:rPr>
          <w:rFonts w:hint="eastAsia" w:ascii="仿宋_GB2312" w:hAnsi="仿宋_GB2312" w:eastAsia="仿宋_GB2312" w:cs="仿宋_GB2312"/>
          <w:sz w:val="32"/>
          <w:szCs w:val="32"/>
        </w:rPr>
        <w:t>的各项工作。全力推进</w:t>
      </w:r>
      <w:r>
        <w:rPr>
          <w:rFonts w:hint="eastAsia" w:ascii="仿宋_GB2312" w:hAnsi="仿宋_GB2312" w:eastAsia="仿宋_GB2312" w:cs="仿宋_GB2312"/>
          <w:color w:val="000000"/>
          <w:sz w:val="32"/>
          <w:szCs w:val="32"/>
          <w:shd w:val="clear" w:fill="FFFFFF"/>
        </w:rPr>
        <w:t>思</w:t>
      </w:r>
      <w:r>
        <w:rPr>
          <w:rFonts w:hint="eastAsia" w:ascii="仿宋_GB2312" w:hAnsi="仿宋_GB2312" w:eastAsia="仿宋_GB2312" w:cs="仿宋_GB2312"/>
          <w:sz w:val="32"/>
          <w:szCs w:val="32"/>
        </w:rPr>
        <w:t>政学院高质量发展，</w:t>
      </w:r>
      <w:r>
        <w:rPr>
          <w:rFonts w:hint="eastAsia" w:ascii="仿宋_GB2312" w:hAnsi="仿宋_GB2312" w:eastAsia="仿宋_GB2312" w:cs="仿宋_GB2312"/>
          <w:sz w:val="32"/>
          <w:szCs w:val="32"/>
          <w:lang w:val="en-US" w:eastAsia="zh-CN"/>
        </w:rPr>
        <w:t>弘扬教育家精神，</w:t>
      </w:r>
      <w:r>
        <w:rPr>
          <w:rFonts w:hint="eastAsia" w:ascii="仿宋_GB2312" w:hAnsi="仿宋_GB2312" w:eastAsia="仿宋_GB2312" w:cs="仿宋_GB2312"/>
          <w:sz w:val="32"/>
          <w:szCs w:val="32"/>
          <w:lang w:eastAsia="zh-CN"/>
        </w:rPr>
        <w:t>更好地服务</w:t>
      </w:r>
      <w:r>
        <w:rPr>
          <w:rFonts w:hint="eastAsia" w:ascii="仿宋_GB2312" w:hAnsi="仿宋_GB2312" w:eastAsia="仿宋_GB2312" w:cs="仿宋_GB2312"/>
          <w:sz w:val="32"/>
          <w:szCs w:val="32"/>
        </w:rPr>
        <w:t>培养中小学高素质教师队伍使命，为建设以一流教师继续教育著称的高等学校</w:t>
      </w:r>
      <w:r>
        <w:rPr>
          <w:rFonts w:hint="eastAsia" w:ascii="仿宋_GB2312" w:hAnsi="仿宋_GB2312" w:eastAsia="仿宋_GB2312" w:cs="仿宋_GB2312"/>
          <w:sz w:val="32"/>
          <w:szCs w:val="32"/>
          <w:lang w:eastAsia="zh-CN"/>
        </w:rPr>
        <w:t>作出</w:t>
      </w:r>
      <w:r>
        <w:rPr>
          <w:rFonts w:hint="eastAsia" w:ascii="仿宋_GB2312" w:hAnsi="仿宋_GB2312" w:eastAsia="仿宋_GB2312" w:cs="仿宋_GB2312"/>
          <w:sz w:val="32"/>
          <w:szCs w:val="32"/>
        </w:rPr>
        <w:t>新的更大贡献。</w:t>
      </w:r>
    </w:p>
    <w:sectPr>
      <w:footerReference r:id="rId3" w:type="default"/>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81195"/>
    </w:sdtPr>
    <w:sdtContent>
      <w:p>
        <w:pPr>
          <w:pStyle w:val="6"/>
          <w:jc w:val="center"/>
        </w:pPr>
        <w:r>
          <w:fldChar w:fldCharType="begin"/>
        </w:r>
        <w:r>
          <w:instrText xml:space="preserve"> PAGE   \* MERGEFORMAT </w:instrText>
        </w:r>
        <w:r>
          <w:fldChar w:fldCharType="separate"/>
        </w:r>
        <w:r>
          <w:rPr>
            <w:lang w:val="zh-CN"/>
          </w:rPr>
          <w:t>3</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734CCE"/>
    <w:multiLevelType w:val="multilevel"/>
    <w:tmpl w:val="29734CCE"/>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1M2Y1YTUyNzdkZjVlYjk3MjcyNzBlNmFmYWI3YzEifQ=="/>
  </w:docVars>
  <w:rsids>
    <w:rsidRoot w:val="00E502A3"/>
    <w:rsid w:val="00003DBE"/>
    <w:rsid w:val="00003F0A"/>
    <w:rsid w:val="00006B4F"/>
    <w:rsid w:val="00007EFB"/>
    <w:rsid w:val="00014F21"/>
    <w:rsid w:val="00015129"/>
    <w:rsid w:val="0001731B"/>
    <w:rsid w:val="00017494"/>
    <w:rsid w:val="000250C7"/>
    <w:rsid w:val="00026BCB"/>
    <w:rsid w:val="00027166"/>
    <w:rsid w:val="00030C33"/>
    <w:rsid w:val="00034529"/>
    <w:rsid w:val="00035D63"/>
    <w:rsid w:val="000434C6"/>
    <w:rsid w:val="00045279"/>
    <w:rsid w:val="0004571A"/>
    <w:rsid w:val="00053AB8"/>
    <w:rsid w:val="00057380"/>
    <w:rsid w:val="000668E8"/>
    <w:rsid w:val="00073362"/>
    <w:rsid w:val="0007683B"/>
    <w:rsid w:val="000814CC"/>
    <w:rsid w:val="00085541"/>
    <w:rsid w:val="000908C7"/>
    <w:rsid w:val="000940A7"/>
    <w:rsid w:val="00094EE4"/>
    <w:rsid w:val="00095E9B"/>
    <w:rsid w:val="000A2B21"/>
    <w:rsid w:val="000A327A"/>
    <w:rsid w:val="000A77FB"/>
    <w:rsid w:val="000B43F7"/>
    <w:rsid w:val="000B6194"/>
    <w:rsid w:val="000C0118"/>
    <w:rsid w:val="000C0748"/>
    <w:rsid w:val="000C137A"/>
    <w:rsid w:val="000C1AAD"/>
    <w:rsid w:val="000C2C11"/>
    <w:rsid w:val="000C44EE"/>
    <w:rsid w:val="000C5FCE"/>
    <w:rsid w:val="000C77FD"/>
    <w:rsid w:val="000D06BC"/>
    <w:rsid w:val="000D42B1"/>
    <w:rsid w:val="000D5F46"/>
    <w:rsid w:val="000D689F"/>
    <w:rsid w:val="000E250D"/>
    <w:rsid w:val="000E3F9B"/>
    <w:rsid w:val="000F3B9B"/>
    <w:rsid w:val="00103A4F"/>
    <w:rsid w:val="00103D67"/>
    <w:rsid w:val="00106872"/>
    <w:rsid w:val="00107010"/>
    <w:rsid w:val="00111882"/>
    <w:rsid w:val="001120A2"/>
    <w:rsid w:val="00112711"/>
    <w:rsid w:val="00116D17"/>
    <w:rsid w:val="00116E7F"/>
    <w:rsid w:val="00121A5E"/>
    <w:rsid w:val="00122907"/>
    <w:rsid w:val="001271B4"/>
    <w:rsid w:val="001346FD"/>
    <w:rsid w:val="00143177"/>
    <w:rsid w:val="00150BBD"/>
    <w:rsid w:val="00151195"/>
    <w:rsid w:val="001515EF"/>
    <w:rsid w:val="00153BB2"/>
    <w:rsid w:val="0016034E"/>
    <w:rsid w:val="00162FC6"/>
    <w:rsid w:val="001662EE"/>
    <w:rsid w:val="00167E4D"/>
    <w:rsid w:val="001709D3"/>
    <w:rsid w:val="001835EE"/>
    <w:rsid w:val="001851DA"/>
    <w:rsid w:val="00192542"/>
    <w:rsid w:val="00193B62"/>
    <w:rsid w:val="00194C34"/>
    <w:rsid w:val="001964A4"/>
    <w:rsid w:val="00197811"/>
    <w:rsid w:val="00197D07"/>
    <w:rsid w:val="001A141A"/>
    <w:rsid w:val="001A3BB2"/>
    <w:rsid w:val="001B07A5"/>
    <w:rsid w:val="001B10C8"/>
    <w:rsid w:val="001B320D"/>
    <w:rsid w:val="001B45BF"/>
    <w:rsid w:val="001B5D96"/>
    <w:rsid w:val="001C1802"/>
    <w:rsid w:val="001C20DD"/>
    <w:rsid w:val="001C3F7B"/>
    <w:rsid w:val="001C49D0"/>
    <w:rsid w:val="001C4F4E"/>
    <w:rsid w:val="001D533E"/>
    <w:rsid w:val="001D7E25"/>
    <w:rsid w:val="001E37CE"/>
    <w:rsid w:val="001F05F0"/>
    <w:rsid w:val="001F2663"/>
    <w:rsid w:val="001F4CD6"/>
    <w:rsid w:val="001F5BAB"/>
    <w:rsid w:val="001F7A6D"/>
    <w:rsid w:val="00200764"/>
    <w:rsid w:val="00201919"/>
    <w:rsid w:val="002071CC"/>
    <w:rsid w:val="00207A74"/>
    <w:rsid w:val="00211952"/>
    <w:rsid w:val="0021613C"/>
    <w:rsid w:val="002176D4"/>
    <w:rsid w:val="002207BE"/>
    <w:rsid w:val="00220EF9"/>
    <w:rsid w:val="00221728"/>
    <w:rsid w:val="00222C2C"/>
    <w:rsid w:val="00222F2C"/>
    <w:rsid w:val="00231C5A"/>
    <w:rsid w:val="0023234B"/>
    <w:rsid w:val="0023433D"/>
    <w:rsid w:val="002350E5"/>
    <w:rsid w:val="00235A4B"/>
    <w:rsid w:val="00244477"/>
    <w:rsid w:val="0024546D"/>
    <w:rsid w:val="002533D7"/>
    <w:rsid w:val="00256C36"/>
    <w:rsid w:val="002573A0"/>
    <w:rsid w:val="002614BE"/>
    <w:rsid w:val="0027426B"/>
    <w:rsid w:val="00276D11"/>
    <w:rsid w:val="00285703"/>
    <w:rsid w:val="00285D86"/>
    <w:rsid w:val="002863E8"/>
    <w:rsid w:val="00294D25"/>
    <w:rsid w:val="002A3E57"/>
    <w:rsid w:val="002A7344"/>
    <w:rsid w:val="002B2A03"/>
    <w:rsid w:val="002B69CE"/>
    <w:rsid w:val="002B7F54"/>
    <w:rsid w:val="002C1B30"/>
    <w:rsid w:val="002C1E73"/>
    <w:rsid w:val="002C4782"/>
    <w:rsid w:val="002C5B38"/>
    <w:rsid w:val="002C5FAC"/>
    <w:rsid w:val="002C7CCC"/>
    <w:rsid w:val="002D20A7"/>
    <w:rsid w:val="002D639C"/>
    <w:rsid w:val="002E02FC"/>
    <w:rsid w:val="002E0ED6"/>
    <w:rsid w:val="002E5DE5"/>
    <w:rsid w:val="002E647A"/>
    <w:rsid w:val="002E6B27"/>
    <w:rsid w:val="002F0F88"/>
    <w:rsid w:val="002F317A"/>
    <w:rsid w:val="002F4DD5"/>
    <w:rsid w:val="00301AB0"/>
    <w:rsid w:val="00302E9E"/>
    <w:rsid w:val="00302ECC"/>
    <w:rsid w:val="003051F4"/>
    <w:rsid w:val="003126F0"/>
    <w:rsid w:val="00321804"/>
    <w:rsid w:val="00322240"/>
    <w:rsid w:val="00324B24"/>
    <w:rsid w:val="00326277"/>
    <w:rsid w:val="00326D39"/>
    <w:rsid w:val="0033188A"/>
    <w:rsid w:val="00331EEF"/>
    <w:rsid w:val="0033213E"/>
    <w:rsid w:val="0033527D"/>
    <w:rsid w:val="00340B55"/>
    <w:rsid w:val="00350FD7"/>
    <w:rsid w:val="003523B4"/>
    <w:rsid w:val="003535A2"/>
    <w:rsid w:val="00355665"/>
    <w:rsid w:val="00360958"/>
    <w:rsid w:val="0036271E"/>
    <w:rsid w:val="00370CCE"/>
    <w:rsid w:val="0037132E"/>
    <w:rsid w:val="00372C52"/>
    <w:rsid w:val="00372F56"/>
    <w:rsid w:val="00374AC2"/>
    <w:rsid w:val="00377760"/>
    <w:rsid w:val="00381A3E"/>
    <w:rsid w:val="00382A2D"/>
    <w:rsid w:val="00384B4A"/>
    <w:rsid w:val="0039415B"/>
    <w:rsid w:val="00395FD7"/>
    <w:rsid w:val="00396DD9"/>
    <w:rsid w:val="003A3ABF"/>
    <w:rsid w:val="003A4213"/>
    <w:rsid w:val="003B0DB5"/>
    <w:rsid w:val="003B2623"/>
    <w:rsid w:val="003B67DA"/>
    <w:rsid w:val="003C1301"/>
    <w:rsid w:val="003C1E3E"/>
    <w:rsid w:val="003C2147"/>
    <w:rsid w:val="003C35A4"/>
    <w:rsid w:val="003C4A41"/>
    <w:rsid w:val="003D0880"/>
    <w:rsid w:val="003D2BBC"/>
    <w:rsid w:val="003D6755"/>
    <w:rsid w:val="003D73E1"/>
    <w:rsid w:val="003E4A55"/>
    <w:rsid w:val="003E4F01"/>
    <w:rsid w:val="003E6E70"/>
    <w:rsid w:val="00402C0A"/>
    <w:rsid w:val="00407BA7"/>
    <w:rsid w:val="00411FD2"/>
    <w:rsid w:val="0041352C"/>
    <w:rsid w:val="00422017"/>
    <w:rsid w:val="004238A5"/>
    <w:rsid w:val="00426243"/>
    <w:rsid w:val="0043007F"/>
    <w:rsid w:val="00430BD0"/>
    <w:rsid w:val="00432219"/>
    <w:rsid w:val="00433670"/>
    <w:rsid w:val="00435E55"/>
    <w:rsid w:val="004374AB"/>
    <w:rsid w:val="004376A9"/>
    <w:rsid w:val="0044220E"/>
    <w:rsid w:val="00442273"/>
    <w:rsid w:val="00443C0F"/>
    <w:rsid w:val="00444471"/>
    <w:rsid w:val="00444582"/>
    <w:rsid w:val="0044468F"/>
    <w:rsid w:val="00444966"/>
    <w:rsid w:val="00444DD7"/>
    <w:rsid w:val="0044514A"/>
    <w:rsid w:val="00445EB7"/>
    <w:rsid w:val="00450626"/>
    <w:rsid w:val="00455082"/>
    <w:rsid w:val="00455612"/>
    <w:rsid w:val="004670E2"/>
    <w:rsid w:val="004748F3"/>
    <w:rsid w:val="004821C4"/>
    <w:rsid w:val="0049185F"/>
    <w:rsid w:val="004922AE"/>
    <w:rsid w:val="004940B4"/>
    <w:rsid w:val="0049594C"/>
    <w:rsid w:val="004A0F8D"/>
    <w:rsid w:val="004A574B"/>
    <w:rsid w:val="004A6FD5"/>
    <w:rsid w:val="004A79B2"/>
    <w:rsid w:val="004B3017"/>
    <w:rsid w:val="004B50BD"/>
    <w:rsid w:val="004B6071"/>
    <w:rsid w:val="004B7150"/>
    <w:rsid w:val="004C05B0"/>
    <w:rsid w:val="004C4E05"/>
    <w:rsid w:val="004C4F5C"/>
    <w:rsid w:val="004D051C"/>
    <w:rsid w:val="004D1245"/>
    <w:rsid w:val="004D28FC"/>
    <w:rsid w:val="004D2D98"/>
    <w:rsid w:val="004D633B"/>
    <w:rsid w:val="004D7663"/>
    <w:rsid w:val="004D7A3D"/>
    <w:rsid w:val="004E1198"/>
    <w:rsid w:val="004E13C0"/>
    <w:rsid w:val="004E1DA6"/>
    <w:rsid w:val="004E2EF2"/>
    <w:rsid w:val="004E317A"/>
    <w:rsid w:val="004F0A9A"/>
    <w:rsid w:val="004F2D15"/>
    <w:rsid w:val="004F6BFE"/>
    <w:rsid w:val="004F79B9"/>
    <w:rsid w:val="00503A98"/>
    <w:rsid w:val="00512ED2"/>
    <w:rsid w:val="00514C6F"/>
    <w:rsid w:val="005214E2"/>
    <w:rsid w:val="00521ED0"/>
    <w:rsid w:val="00523484"/>
    <w:rsid w:val="0052382D"/>
    <w:rsid w:val="005254FD"/>
    <w:rsid w:val="0052649E"/>
    <w:rsid w:val="00526C25"/>
    <w:rsid w:val="0053305D"/>
    <w:rsid w:val="005351EE"/>
    <w:rsid w:val="00541A30"/>
    <w:rsid w:val="00542847"/>
    <w:rsid w:val="0054377B"/>
    <w:rsid w:val="0054590C"/>
    <w:rsid w:val="0054703A"/>
    <w:rsid w:val="0055458A"/>
    <w:rsid w:val="00555219"/>
    <w:rsid w:val="005612D7"/>
    <w:rsid w:val="005636DD"/>
    <w:rsid w:val="005641AA"/>
    <w:rsid w:val="00567655"/>
    <w:rsid w:val="00567686"/>
    <w:rsid w:val="00572ADE"/>
    <w:rsid w:val="00573003"/>
    <w:rsid w:val="00575D95"/>
    <w:rsid w:val="005804D1"/>
    <w:rsid w:val="00582B0B"/>
    <w:rsid w:val="00587DDC"/>
    <w:rsid w:val="0059238F"/>
    <w:rsid w:val="005A421C"/>
    <w:rsid w:val="005B03FF"/>
    <w:rsid w:val="005B0B26"/>
    <w:rsid w:val="005B2893"/>
    <w:rsid w:val="005B4C5C"/>
    <w:rsid w:val="005C21D4"/>
    <w:rsid w:val="005C3767"/>
    <w:rsid w:val="005C6CE4"/>
    <w:rsid w:val="005D3E2D"/>
    <w:rsid w:val="005D6D8E"/>
    <w:rsid w:val="005E16D1"/>
    <w:rsid w:val="005E22F9"/>
    <w:rsid w:val="005E2300"/>
    <w:rsid w:val="005E29AA"/>
    <w:rsid w:val="005E44D6"/>
    <w:rsid w:val="005E6586"/>
    <w:rsid w:val="005F276C"/>
    <w:rsid w:val="005F34CD"/>
    <w:rsid w:val="005F4DF0"/>
    <w:rsid w:val="005F699A"/>
    <w:rsid w:val="00602DE7"/>
    <w:rsid w:val="00604F56"/>
    <w:rsid w:val="006116F7"/>
    <w:rsid w:val="00614A70"/>
    <w:rsid w:val="0061560D"/>
    <w:rsid w:val="00616D00"/>
    <w:rsid w:val="00623989"/>
    <w:rsid w:val="00624A7F"/>
    <w:rsid w:val="00636A32"/>
    <w:rsid w:val="00641578"/>
    <w:rsid w:val="00641639"/>
    <w:rsid w:val="00645DF3"/>
    <w:rsid w:val="00651645"/>
    <w:rsid w:val="006539DC"/>
    <w:rsid w:val="0066059B"/>
    <w:rsid w:val="00661265"/>
    <w:rsid w:val="006633E2"/>
    <w:rsid w:val="006654FF"/>
    <w:rsid w:val="00671926"/>
    <w:rsid w:val="00673044"/>
    <w:rsid w:val="00674682"/>
    <w:rsid w:val="00675AB2"/>
    <w:rsid w:val="00676190"/>
    <w:rsid w:val="00680BD3"/>
    <w:rsid w:val="006820F7"/>
    <w:rsid w:val="00685192"/>
    <w:rsid w:val="00685431"/>
    <w:rsid w:val="00685455"/>
    <w:rsid w:val="00692A29"/>
    <w:rsid w:val="00693DCB"/>
    <w:rsid w:val="00694F9A"/>
    <w:rsid w:val="006A04E2"/>
    <w:rsid w:val="006A09FD"/>
    <w:rsid w:val="006B004B"/>
    <w:rsid w:val="006B7A56"/>
    <w:rsid w:val="006C1387"/>
    <w:rsid w:val="006C4121"/>
    <w:rsid w:val="006C4A1B"/>
    <w:rsid w:val="006C55EA"/>
    <w:rsid w:val="006D143D"/>
    <w:rsid w:val="006D3085"/>
    <w:rsid w:val="006E0E89"/>
    <w:rsid w:val="006F0553"/>
    <w:rsid w:val="006F1827"/>
    <w:rsid w:val="00700FF5"/>
    <w:rsid w:val="007019F6"/>
    <w:rsid w:val="00706306"/>
    <w:rsid w:val="00710647"/>
    <w:rsid w:val="00717817"/>
    <w:rsid w:val="00721194"/>
    <w:rsid w:val="007231CB"/>
    <w:rsid w:val="007255CE"/>
    <w:rsid w:val="00726BB9"/>
    <w:rsid w:val="00730450"/>
    <w:rsid w:val="00730EC8"/>
    <w:rsid w:val="007331AD"/>
    <w:rsid w:val="00737AF3"/>
    <w:rsid w:val="00740669"/>
    <w:rsid w:val="00746A55"/>
    <w:rsid w:val="007531E9"/>
    <w:rsid w:val="00760AEF"/>
    <w:rsid w:val="00762C43"/>
    <w:rsid w:val="007679A0"/>
    <w:rsid w:val="00767AEF"/>
    <w:rsid w:val="00770BB0"/>
    <w:rsid w:val="00771B42"/>
    <w:rsid w:val="00771ED5"/>
    <w:rsid w:val="00771F92"/>
    <w:rsid w:val="007751F8"/>
    <w:rsid w:val="007755BF"/>
    <w:rsid w:val="00777BE3"/>
    <w:rsid w:val="0078160F"/>
    <w:rsid w:val="00786EBB"/>
    <w:rsid w:val="00793CF6"/>
    <w:rsid w:val="00794F62"/>
    <w:rsid w:val="00795338"/>
    <w:rsid w:val="00796A75"/>
    <w:rsid w:val="00796F83"/>
    <w:rsid w:val="007A0063"/>
    <w:rsid w:val="007A5AB8"/>
    <w:rsid w:val="007A5E3F"/>
    <w:rsid w:val="007B0F77"/>
    <w:rsid w:val="007B2701"/>
    <w:rsid w:val="007B64FD"/>
    <w:rsid w:val="007B67F0"/>
    <w:rsid w:val="007B7022"/>
    <w:rsid w:val="007C0E18"/>
    <w:rsid w:val="007D289A"/>
    <w:rsid w:val="007D2F87"/>
    <w:rsid w:val="007D3738"/>
    <w:rsid w:val="007D7995"/>
    <w:rsid w:val="007E5AE1"/>
    <w:rsid w:val="007F338D"/>
    <w:rsid w:val="007F613D"/>
    <w:rsid w:val="008007FE"/>
    <w:rsid w:val="00802992"/>
    <w:rsid w:val="00805D89"/>
    <w:rsid w:val="00806088"/>
    <w:rsid w:val="00811C9A"/>
    <w:rsid w:val="00813464"/>
    <w:rsid w:val="00813796"/>
    <w:rsid w:val="00813A00"/>
    <w:rsid w:val="00813D3C"/>
    <w:rsid w:val="008163CE"/>
    <w:rsid w:val="008176BC"/>
    <w:rsid w:val="008178B0"/>
    <w:rsid w:val="0082222A"/>
    <w:rsid w:val="008316BB"/>
    <w:rsid w:val="00834686"/>
    <w:rsid w:val="0083671B"/>
    <w:rsid w:val="00837F39"/>
    <w:rsid w:val="00840294"/>
    <w:rsid w:val="00855AEC"/>
    <w:rsid w:val="008574EF"/>
    <w:rsid w:val="00857FF1"/>
    <w:rsid w:val="0086001C"/>
    <w:rsid w:val="0086741C"/>
    <w:rsid w:val="00871B1F"/>
    <w:rsid w:val="00875F88"/>
    <w:rsid w:val="008805CB"/>
    <w:rsid w:val="00885244"/>
    <w:rsid w:val="00896580"/>
    <w:rsid w:val="008A009C"/>
    <w:rsid w:val="008A0516"/>
    <w:rsid w:val="008A1E41"/>
    <w:rsid w:val="008A7948"/>
    <w:rsid w:val="008B5E57"/>
    <w:rsid w:val="008C0428"/>
    <w:rsid w:val="008C274B"/>
    <w:rsid w:val="008C5370"/>
    <w:rsid w:val="008D0593"/>
    <w:rsid w:val="008D34DC"/>
    <w:rsid w:val="008D57C0"/>
    <w:rsid w:val="008E0C28"/>
    <w:rsid w:val="008E1842"/>
    <w:rsid w:val="008E4783"/>
    <w:rsid w:val="008E5F48"/>
    <w:rsid w:val="008F2431"/>
    <w:rsid w:val="008F331E"/>
    <w:rsid w:val="008F454A"/>
    <w:rsid w:val="008F4826"/>
    <w:rsid w:val="0090005C"/>
    <w:rsid w:val="00901A6C"/>
    <w:rsid w:val="009039F9"/>
    <w:rsid w:val="00903A77"/>
    <w:rsid w:val="009071CD"/>
    <w:rsid w:val="009077CE"/>
    <w:rsid w:val="00907BED"/>
    <w:rsid w:val="00915ACF"/>
    <w:rsid w:val="00921366"/>
    <w:rsid w:val="0092142E"/>
    <w:rsid w:val="00924784"/>
    <w:rsid w:val="00935D5A"/>
    <w:rsid w:val="00937F2E"/>
    <w:rsid w:val="00941B83"/>
    <w:rsid w:val="009429B1"/>
    <w:rsid w:val="00943CF1"/>
    <w:rsid w:val="009440EC"/>
    <w:rsid w:val="0094505B"/>
    <w:rsid w:val="00947A25"/>
    <w:rsid w:val="00951BAD"/>
    <w:rsid w:val="009566CE"/>
    <w:rsid w:val="0095726B"/>
    <w:rsid w:val="00973152"/>
    <w:rsid w:val="00973D1B"/>
    <w:rsid w:val="0098168A"/>
    <w:rsid w:val="0098194E"/>
    <w:rsid w:val="00983846"/>
    <w:rsid w:val="009909FC"/>
    <w:rsid w:val="00995517"/>
    <w:rsid w:val="009A264B"/>
    <w:rsid w:val="009B1B4A"/>
    <w:rsid w:val="009B4E33"/>
    <w:rsid w:val="009B6064"/>
    <w:rsid w:val="009B7283"/>
    <w:rsid w:val="009D0287"/>
    <w:rsid w:val="009D052B"/>
    <w:rsid w:val="009D05C0"/>
    <w:rsid w:val="009D0944"/>
    <w:rsid w:val="009D16CA"/>
    <w:rsid w:val="009D4E3E"/>
    <w:rsid w:val="009E0731"/>
    <w:rsid w:val="009E1370"/>
    <w:rsid w:val="009E7CC7"/>
    <w:rsid w:val="009F72CD"/>
    <w:rsid w:val="00A01421"/>
    <w:rsid w:val="00A014EA"/>
    <w:rsid w:val="00A06632"/>
    <w:rsid w:val="00A06B70"/>
    <w:rsid w:val="00A07176"/>
    <w:rsid w:val="00A07E13"/>
    <w:rsid w:val="00A1494D"/>
    <w:rsid w:val="00A1728E"/>
    <w:rsid w:val="00A20161"/>
    <w:rsid w:val="00A20335"/>
    <w:rsid w:val="00A216CE"/>
    <w:rsid w:val="00A261A8"/>
    <w:rsid w:val="00A3262B"/>
    <w:rsid w:val="00A3587A"/>
    <w:rsid w:val="00A40AD7"/>
    <w:rsid w:val="00A43C6C"/>
    <w:rsid w:val="00A44506"/>
    <w:rsid w:val="00A47E0B"/>
    <w:rsid w:val="00A50F84"/>
    <w:rsid w:val="00A5144C"/>
    <w:rsid w:val="00A55C19"/>
    <w:rsid w:val="00A607D6"/>
    <w:rsid w:val="00A61E9B"/>
    <w:rsid w:val="00A63151"/>
    <w:rsid w:val="00A63F89"/>
    <w:rsid w:val="00A64857"/>
    <w:rsid w:val="00A70E10"/>
    <w:rsid w:val="00A712A0"/>
    <w:rsid w:val="00A800E9"/>
    <w:rsid w:val="00A84580"/>
    <w:rsid w:val="00A85913"/>
    <w:rsid w:val="00A86944"/>
    <w:rsid w:val="00A87385"/>
    <w:rsid w:val="00A878C1"/>
    <w:rsid w:val="00A90C31"/>
    <w:rsid w:val="00AA1A54"/>
    <w:rsid w:val="00AA2B30"/>
    <w:rsid w:val="00AA5070"/>
    <w:rsid w:val="00AA510B"/>
    <w:rsid w:val="00AA5227"/>
    <w:rsid w:val="00AA610F"/>
    <w:rsid w:val="00AA7BAF"/>
    <w:rsid w:val="00AB289B"/>
    <w:rsid w:val="00AC0480"/>
    <w:rsid w:val="00AC04F0"/>
    <w:rsid w:val="00AD27D5"/>
    <w:rsid w:val="00AD293E"/>
    <w:rsid w:val="00AD39EE"/>
    <w:rsid w:val="00AD4597"/>
    <w:rsid w:val="00AE04F6"/>
    <w:rsid w:val="00AE0643"/>
    <w:rsid w:val="00AE0D9E"/>
    <w:rsid w:val="00AE0F7E"/>
    <w:rsid w:val="00AE2A9D"/>
    <w:rsid w:val="00AF491D"/>
    <w:rsid w:val="00AF5172"/>
    <w:rsid w:val="00AF631D"/>
    <w:rsid w:val="00AF7F86"/>
    <w:rsid w:val="00B00F11"/>
    <w:rsid w:val="00B00FCA"/>
    <w:rsid w:val="00B05297"/>
    <w:rsid w:val="00B0729E"/>
    <w:rsid w:val="00B14311"/>
    <w:rsid w:val="00B14EE2"/>
    <w:rsid w:val="00B15094"/>
    <w:rsid w:val="00B162CA"/>
    <w:rsid w:val="00B204C1"/>
    <w:rsid w:val="00B23443"/>
    <w:rsid w:val="00B23C8B"/>
    <w:rsid w:val="00B249DA"/>
    <w:rsid w:val="00B25D7D"/>
    <w:rsid w:val="00B322BD"/>
    <w:rsid w:val="00B33E15"/>
    <w:rsid w:val="00B36270"/>
    <w:rsid w:val="00B37308"/>
    <w:rsid w:val="00B45256"/>
    <w:rsid w:val="00B4739F"/>
    <w:rsid w:val="00B5056E"/>
    <w:rsid w:val="00B55668"/>
    <w:rsid w:val="00B60394"/>
    <w:rsid w:val="00B60CD5"/>
    <w:rsid w:val="00B62EDE"/>
    <w:rsid w:val="00B701EA"/>
    <w:rsid w:val="00B707D1"/>
    <w:rsid w:val="00B71A71"/>
    <w:rsid w:val="00B7762D"/>
    <w:rsid w:val="00B81B9D"/>
    <w:rsid w:val="00B8204E"/>
    <w:rsid w:val="00B82E55"/>
    <w:rsid w:val="00B83548"/>
    <w:rsid w:val="00B86F9C"/>
    <w:rsid w:val="00B923F1"/>
    <w:rsid w:val="00B94916"/>
    <w:rsid w:val="00B95560"/>
    <w:rsid w:val="00BA7A95"/>
    <w:rsid w:val="00BB0540"/>
    <w:rsid w:val="00BB1441"/>
    <w:rsid w:val="00BB14B6"/>
    <w:rsid w:val="00BB4052"/>
    <w:rsid w:val="00BB4A87"/>
    <w:rsid w:val="00BB6625"/>
    <w:rsid w:val="00BB662C"/>
    <w:rsid w:val="00BB6EEF"/>
    <w:rsid w:val="00BB776D"/>
    <w:rsid w:val="00BC1F21"/>
    <w:rsid w:val="00BC31AF"/>
    <w:rsid w:val="00BC32FC"/>
    <w:rsid w:val="00BC498B"/>
    <w:rsid w:val="00BC5AAD"/>
    <w:rsid w:val="00BC64DB"/>
    <w:rsid w:val="00BD1DCC"/>
    <w:rsid w:val="00BE32D7"/>
    <w:rsid w:val="00BE4192"/>
    <w:rsid w:val="00BE44A9"/>
    <w:rsid w:val="00BE5E02"/>
    <w:rsid w:val="00BE649C"/>
    <w:rsid w:val="00BF4582"/>
    <w:rsid w:val="00BF5816"/>
    <w:rsid w:val="00C00696"/>
    <w:rsid w:val="00C0207E"/>
    <w:rsid w:val="00C035FC"/>
    <w:rsid w:val="00C07650"/>
    <w:rsid w:val="00C110E1"/>
    <w:rsid w:val="00C11D8F"/>
    <w:rsid w:val="00C15450"/>
    <w:rsid w:val="00C15A6F"/>
    <w:rsid w:val="00C16CA5"/>
    <w:rsid w:val="00C17BD0"/>
    <w:rsid w:val="00C22AF0"/>
    <w:rsid w:val="00C231DD"/>
    <w:rsid w:val="00C3186E"/>
    <w:rsid w:val="00C32B5C"/>
    <w:rsid w:val="00C34EB8"/>
    <w:rsid w:val="00C35350"/>
    <w:rsid w:val="00C41641"/>
    <w:rsid w:val="00C428D4"/>
    <w:rsid w:val="00C42E4D"/>
    <w:rsid w:val="00C46F76"/>
    <w:rsid w:val="00C47DCD"/>
    <w:rsid w:val="00C51FB7"/>
    <w:rsid w:val="00C5215C"/>
    <w:rsid w:val="00C54666"/>
    <w:rsid w:val="00C56470"/>
    <w:rsid w:val="00C5729D"/>
    <w:rsid w:val="00C66AFF"/>
    <w:rsid w:val="00C675F5"/>
    <w:rsid w:val="00C71906"/>
    <w:rsid w:val="00C72A48"/>
    <w:rsid w:val="00C74916"/>
    <w:rsid w:val="00C907E6"/>
    <w:rsid w:val="00C909CB"/>
    <w:rsid w:val="00C90D96"/>
    <w:rsid w:val="00C93A42"/>
    <w:rsid w:val="00C973FA"/>
    <w:rsid w:val="00CA1C72"/>
    <w:rsid w:val="00CA5128"/>
    <w:rsid w:val="00CA5174"/>
    <w:rsid w:val="00CB22CC"/>
    <w:rsid w:val="00CB3354"/>
    <w:rsid w:val="00CB4AD9"/>
    <w:rsid w:val="00CB56F3"/>
    <w:rsid w:val="00CC250E"/>
    <w:rsid w:val="00CC39DA"/>
    <w:rsid w:val="00CC6002"/>
    <w:rsid w:val="00CD2A81"/>
    <w:rsid w:val="00CD2FDB"/>
    <w:rsid w:val="00CD52EA"/>
    <w:rsid w:val="00CE0152"/>
    <w:rsid w:val="00CE30A3"/>
    <w:rsid w:val="00CE3284"/>
    <w:rsid w:val="00CE4C5D"/>
    <w:rsid w:val="00CF10BC"/>
    <w:rsid w:val="00CF11A6"/>
    <w:rsid w:val="00CF5421"/>
    <w:rsid w:val="00CF7CC4"/>
    <w:rsid w:val="00D019E7"/>
    <w:rsid w:val="00D03F47"/>
    <w:rsid w:val="00D07318"/>
    <w:rsid w:val="00D1214C"/>
    <w:rsid w:val="00D254A1"/>
    <w:rsid w:val="00D306FD"/>
    <w:rsid w:val="00D31212"/>
    <w:rsid w:val="00D31E36"/>
    <w:rsid w:val="00D33F4C"/>
    <w:rsid w:val="00D33FEE"/>
    <w:rsid w:val="00D37E4D"/>
    <w:rsid w:val="00D402F4"/>
    <w:rsid w:val="00D40485"/>
    <w:rsid w:val="00D42BC8"/>
    <w:rsid w:val="00D438CE"/>
    <w:rsid w:val="00D535A5"/>
    <w:rsid w:val="00D55686"/>
    <w:rsid w:val="00D6289A"/>
    <w:rsid w:val="00D64F9B"/>
    <w:rsid w:val="00D65C0E"/>
    <w:rsid w:val="00D70D0F"/>
    <w:rsid w:val="00D71F7B"/>
    <w:rsid w:val="00D724CD"/>
    <w:rsid w:val="00D72EEF"/>
    <w:rsid w:val="00D7527E"/>
    <w:rsid w:val="00D77D21"/>
    <w:rsid w:val="00D82046"/>
    <w:rsid w:val="00D84F9A"/>
    <w:rsid w:val="00D86000"/>
    <w:rsid w:val="00D87559"/>
    <w:rsid w:val="00D906DE"/>
    <w:rsid w:val="00D914F7"/>
    <w:rsid w:val="00D93573"/>
    <w:rsid w:val="00D9370F"/>
    <w:rsid w:val="00D93E4F"/>
    <w:rsid w:val="00D942F1"/>
    <w:rsid w:val="00DA1369"/>
    <w:rsid w:val="00DA1469"/>
    <w:rsid w:val="00DA79D1"/>
    <w:rsid w:val="00DA7D90"/>
    <w:rsid w:val="00DB0920"/>
    <w:rsid w:val="00DB0CDC"/>
    <w:rsid w:val="00DB10F4"/>
    <w:rsid w:val="00DB5C8A"/>
    <w:rsid w:val="00DB5ED4"/>
    <w:rsid w:val="00DC034F"/>
    <w:rsid w:val="00DC0F6E"/>
    <w:rsid w:val="00DC2D0E"/>
    <w:rsid w:val="00DC49DB"/>
    <w:rsid w:val="00DC5A15"/>
    <w:rsid w:val="00DD506E"/>
    <w:rsid w:val="00DD6138"/>
    <w:rsid w:val="00DE42C6"/>
    <w:rsid w:val="00DE701A"/>
    <w:rsid w:val="00DF1116"/>
    <w:rsid w:val="00DF120E"/>
    <w:rsid w:val="00DF1ABD"/>
    <w:rsid w:val="00DF3262"/>
    <w:rsid w:val="00DF65BC"/>
    <w:rsid w:val="00DF6EFE"/>
    <w:rsid w:val="00E07BBB"/>
    <w:rsid w:val="00E116DE"/>
    <w:rsid w:val="00E11BE0"/>
    <w:rsid w:val="00E11E12"/>
    <w:rsid w:val="00E12532"/>
    <w:rsid w:val="00E17FB3"/>
    <w:rsid w:val="00E21F79"/>
    <w:rsid w:val="00E23849"/>
    <w:rsid w:val="00E25257"/>
    <w:rsid w:val="00E2527C"/>
    <w:rsid w:val="00E2605C"/>
    <w:rsid w:val="00E34D30"/>
    <w:rsid w:val="00E37D11"/>
    <w:rsid w:val="00E44883"/>
    <w:rsid w:val="00E462CF"/>
    <w:rsid w:val="00E47B02"/>
    <w:rsid w:val="00E502A3"/>
    <w:rsid w:val="00E53624"/>
    <w:rsid w:val="00E60903"/>
    <w:rsid w:val="00E6102C"/>
    <w:rsid w:val="00E660C0"/>
    <w:rsid w:val="00E70061"/>
    <w:rsid w:val="00E73F6F"/>
    <w:rsid w:val="00E74AD5"/>
    <w:rsid w:val="00E75EA6"/>
    <w:rsid w:val="00E82234"/>
    <w:rsid w:val="00E826E6"/>
    <w:rsid w:val="00E86046"/>
    <w:rsid w:val="00E91A39"/>
    <w:rsid w:val="00E9395A"/>
    <w:rsid w:val="00EA143C"/>
    <w:rsid w:val="00EA1B69"/>
    <w:rsid w:val="00EA734C"/>
    <w:rsid w:val="00EB5E7A"/>
    <w:rsid w:val="00EB7304"/>
    <w:rsid w:val="00EC1A1A"/>
    <w:rsid w:val="00EC26EE"/>
    <w:rsid w:val="00EC299B"/>
    <w:rsid w:val="00EC3799"/>
    <w:rsid w:val="00EC5081"/>
    <w:rsid w:val="00ED18B0"/>
    <w:rsid w:val="00ED226C"/>
    <w:rsid w:val="00ED5EB2"/>
    <w:rsid w:val="00ED7DFC"/>
    <w:rsid w:val="00EE5606"/>
    <w:rsid w:val="00EF1B8B"/>
    <w:rsid w:val="00EF4CB1"/>
    <w:rsid w:val="00EF77F4"/>
    <w:rsid w:val="00F03208"/>
    <w:rsid w:val="00F03557"/>
    <w:rsid w:val="00F070D6"/>
    <w:rsid w:val="00F0748D"/>
    <w:rsid w:val="00F1230C"/>
    <w:rsid w:val="00F20C62"/>
    <w:rsid w:val="00F229E8"/>
    <w:rsid w:val="00F30E08"/>
    <w:rsid w:val="00F44E57"/>
    <w:rsid w:val="00F50F8E"/>
    <w:rsid w:val="00F51E6C"/>
    <w:rsid w:val="00F522A3"/>
    <w:rsid w:val="00F526A6"/>
    <w:rsid w:val="00F53E30"/>
    <w:rsid w:val="00F56803"/>
    <w:rsid w:val="00F607C8"/>
    <w:rsid w:val="00F60E42"/>
    <w:rsid w:val="00F613B5"/>
    <w:rsid w:val="00F61B0E"/>
    <w:rsid w:val="00F627DD"/>
    <w:rsid w:val="00F66DFC"/>
    <w:rsid w:val="00F7068B"/>
    <w:rsid w:val="00F730BA"/>
    <w:rsid w:val="00F74441"/>
    <w:rsid w:val="00F81512"/>
    <w:rsid w:val="00F82068"/>
    <w:rsid w:val="00F86BE8"/>
    <w:rsid w:val="00F87D17"/>
    <w:rsid w:val="00F95888"/>
    <w:rsid w:val="00FA0932"/>
    <w:rsid w:val="00FA2361"/>
    <w:rsid w:val="00FA4D40"/>
    <w:rsid w:val="00FB045F"/>
    <w:rsid w:val="00FB1FC7"/>
    <w:rsid w:val="00FB3BD7"/>
    <w:rsid w:val="00FB45BF"/>
    <w:rsid w:val="00FB528F"/>
    <w:rsid w:val="00FB56F4"/>
    <w:rsid w:val="00FC5C3C"/>
    <w:rsid w:val="00FC7DCC"/>
    <w:rsid w:val="00FD0ACD"/>
    <w:rsid w:val="00FF1FF3"/>
    <w:rsid w:val="00FF64B3"/>
    <w:rsid w:val="02BF1501"/>
    <w:rsid w:val="05BA725C"/>
    <w:rsid w:val="06C254FC"/>
    <w:rsid w:val="06F134AE"/>
    <w:rsid w:val="07AC6338"/>
    <w:rsid w:val="08590C54"/>
    <w:rsid w:val="0AC33FD8"/>
    <w:rsid w:val="0AFB3F0E"/>
    <w:rsid w:val="0C1A32D7"/>
    <w:rsid w:val="0F74530B"/>
    <w:rsid w:val="0F8737C1"/>
    <w:rsid w:val="10523A58"/>
    <w:rsid w:val="11BF48E7"/>
    <w:rsid w:val="12C43900"/>
    <w:rsid w:val="12DE3005"/>
    <w:rsid w:val="14151024"/>
    <w:rsid w:val="149414A0"/>
    <w:rsid w:val="177B43B7"/>
    <w:rsid w:val="17873403"/>
    <w:rsid w:val="197467ED"/>
    <w:rsid w:val="19832B7B"/>
    <w:rsid w:val="1B8F41B8"/>
    <w:rsid w:val="1CC01896"/>
    <w:rsid w:val="1CE80822"/>
    <w:rsid w:val="1DEB0CE6"/>
    <w:rsid w:val="1EBE12B6"/>
    <w:rsid w:val="1EE43097"/>
    <w:rsid w:val="1F461BAB"/>
    <w:rsid w:val="212A317A"/>
    <w:rsid w:val="217E4F49"/>
    <w:rsid w:val="2288283D"/>
    <w:rsid w:val="22EA7B20"/>
    <w:rsid w:val="233303CB"/>
    <w:rsid w:val="24036404"/>
    <w:rsid w:val="24A03FA5"/>
    <w:rsid w:val="2664484F"/>
    <w:rsid w:val="26964425"/>
    <w:rsid w:val="277A1CB7"/>
    <w:rsid w:val="28B5297E"/>
    <w:rsid w:val="2ACE4763"/>
    <w:rsid w:val="2B655DD6"/>
    <w:rsid w:val="2CCB2770"/>
    <w:rsid w:val="2CE81574"/>
    <w:rsid w:val="2F2B5748"/>
    <w:rsid w:val="31EF6F67"/>
    <w:rsid w:val="32902492"/>
    <w:rsid w:val="34A94F8C"/>
    <w:rsid w:val="34C226AB"/>
    <w:rsid w:val="35837FDE"/>
    <w:rsid w:val="37260188"/>
    <w:rsid w:val="37C456EC"/>
    <w:rsid w:val="384E7D57"/>
    <w:rsid w:val="3A8257E7"/>
    <w:rsid w:val="3C39784D"/>
    <w:rsid w:val="3C4D430D"/>
    <w:rsid w:val="3C53008C"/>
    <w:rsid w:val="3DD516A1"/>
    <w:rsid w:val="41AB1152"/>
    <w:rsid w:val="41C34785"/>
    <w:rsid w:val="42EF6D61"/>
    <w:rsid w:val="44A042F4"/>
    <w:rsid w:val="45112C0E"/>
    <w:rsid w:val="45823A66"/>
    <w:rsid w:val="47841B24"/>
    <w:rsid w:val="47904351"/>
    <w:rsid w:val="47F01796"/>
    <w:rsid w:val="48013092"/>
    <w:rsid w:val="48C7608A"/>
    <w:rsid w:val="49D63DAE"/>
    <w:rsid w:val="4AD8632C"/>
    <w:rsid w:val="4B874C57"/>
    <w:rsid w:val="4CBA5E0D"/>
    <w:rsid w:val="4CBB67EB"/>
    <w:rsid w:val="4DA813D8"/>
    <w:rsid w:val="4E231BDA"/>
    <w:rsid w:val="50DA4C0C"/>
    <w:rsid w:val="5447767F"/>
    <w:rsid w:val="55D42579"/>
    <w:rsid w:val="55F93D86"/>
    <w:rsid w:val="589807DC"/>
    <w:rsid w:val="58BD6097"/>
    <w:rsid w:val="5CD90867"/>
    <w:rsid w:val="5D0E5BDE"/>
    <w:rsid w:val="5D3B76C4"/>
    <w:rsid w:val="5D6E0FBA"/>
    <w:rsid w:val="5E68028B"/>
    <w:rsid w:val="5FB4792A"/>
    <w:rsid w:val="5FB87FD1"/>
    <w:rsid w:val="60E53520"/>
    <w:rsid w:val="615E2C03"/>
    <w:rsid w:val="6393508F"/>
    <w:rsid w:val="63A25979"/>
    <w:rsid w:val="64103319"/>
    <w:rsid w:val="65E801BA"/>
    <w:rsid w:val="664D5EAA"/>
    <w:rsid w:val="676437D6"/>
    <w:rsid w:val="704722A6"/>
    <w:rsid w:val="70A028FB"/>
    <w:rsid w:val="714874B8"/>
    <w:rsid w:val="71791E40"/>
    <w:rsid w:val="71B1625B"/>
    <w:rsid w:val="71E546CC"/>
    <w:rsid w:val="748E25BF"/>
    <w:rsid w:val="74D800A3"/>
    <w:rsid w:val="765C4E81"/>
    <w:rsid w:val="78216965"/>
    <w:rsid w:val="79F503F9"/>
    <w:rsid w:val="7C947A56"/>
    <w:rsid w:val="7E062BD5"/>
    <w:rsid w:val="7E630BC2"/>
    <w:rsid w:val="7EEF0511"/>
    <w:rsid w:val="7EF16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415" w:lineRule="auto"/>
      <w:outlineLvl w:val="1"/>
    </w:pPr>
    <w:rPr>
      <w:rFonts w:ascii="等线 Light" w:hAnsi="等线 Light" w:eastAsia="宋体" w:cs="Times New Roman"/>
      <w:b/>
      <w:bCs/>
      <w:sz w:val="30"/>
      <w:szCs w:val="32"/>
    </w:rPr>
  </w:style>
  <w:style w:type="paragraph" w:styleId="3">
    <w:name w:val="heading 3"/>
    <w:basedOn w:val="1"/>
    <w:next w:val="1"/>
    <w:qFormat/>
    <w:uiPriority w:val="0"/>
    <w:pPr>
      <w:keepNext/>
      <w:keepLines/>
      <w:spacing w:before="260" w:after="260" w:line="416" w:lineRule="auto"/>
      <w:outlineLvl w:val="2"/>
    </w:pPr>
    <w:rPr>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alloon Text"/>
    <w:basedOn w:val="1"/>
    <w:link w:val="22"/>
    <w:qFormat/>
    <w:uiPriority w:val="0"/>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1"/>
    <w:qFormat/>
    <w:uiPriority w:val="99"/>
    <w:pPr>
      <w:snapToGrid w:val="0"/>
      <w:jc w:val="left"/>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24"/>
    <w:qFormat/>
    <w:uiPriority w:val="0"/>
    <w:rPr>
      <w:b/>
      <w:bCs/>
    </w:rPr>
  </w:style>
  <w:style w:type="character" w:styleId="13">
    <w:name w:val="Strong"/>
    <w:basedOn w:val="12"/>
    <w:qFormat/>
    <w:uiPriority w:val="0"/>
    <w:rPr>
      <w:b/>
    </w:rPr>
  </w:style>
  <w:style w:type="character" w:styleId="14">
    <w:name w:val="Emphasis"/>
    <w:basedOn w:val="12"/>
    <w:qFormat/>
    <w:uiPriority w:val="20"/>
    <w:rPr>
      <w:i/>
      <w:iCs/>
    </w:rPr>
  </w:style>
  <w:style w:type="character" w:styleId="15">
    <w:name w:val="Hyperlink"/>
    <w:basedOn w:val="12"/>
    <w:qFormat/>
    <w:uiPriority w:val="0"/>
    <w:rPr>
      <w:color w:val="0000FF" w:themeColor="hyperlink"/>
      <w:u w:val="single"/>
      <w14:textFill>
        <w14:solidFill>
          <w14:schemeClr w14:val="hlink"/>
        </w14:solidFill>
      </w14:textFill>
    </w:rPr>
  </w:style>
  <w:style w:type="character" w:styleId="16">
    <w:name w:val="annotation reference"/>
    <w:basedOn w:val="12"/>
    <w:qFormat/>
    <w:uiPriority w:val="0"/>
    <w:rPr>
      <w:sz w:val="21"/>
      <w:szCs w:val="21"/>
    </w:rPr>
  </w:style>
  <w:style w:type="character" w:styleId="17">
    <w:name w:val="footnote reference"/>
    <w:basedOn w:val="12"/>
    <w:unhideWhenUsed/>
    <w:qFormat/>
    <w:uiPriority w:val="99"/>
    <w:rPr>
      <w:vertAlign w:val="superscript"/>
    </w:rPr>
  </w:style>
  <w:style w:type="paragraph" w:styleId="18">
    <w:name w:val="List Paragraph"/>
    <w:basedOn w:val="1"/>
    <w:qFormat/>
    <w:uiPriority w:val="34"/>
    <w:pPr>
      <w:ind w:firstLine="420" w:firstLineChars="200"/>
    </w:pPr>
  </w:style>
  <w:style w:type="character" w:customStyle="1" w:styleId="19">
    <w:name w:val="页眉 字符"/>
    <w:basedOn w:val="12"/>
    <w:link w:val="7"/>
    <w:qFormat/>
    <w:uiPriority w:val="0"/>
    <w:rPr>
      <w:kern w:val="2"/>
      <w:sz w:val="18"/>
      <w:szCs w:val="18"/>
    </w:rPr>
  </w:style>
  <w:style w:type="character" w:customStyle="1" w:styleId="20">
    <w:name w:val="页脚 字符"/>
    <w:basedOn w:val="12"/>
    <w:link w:val="6"/>
    <w:qFormat/>
    <w:uiPriority w:val="99"/>
    <w:rPr>
      <w:kern w:val="2"/>
      <w:sz w:val="18"/>
      <w:szCs w:val="18"/>
    </w:rPr>
  </w:style>
  <w:style w:type="character" w:customStyle="1" w:styleId="21">
    <w:name w:val="脚注文本 字符"/>
    <w:basedOn w:val="12"/>
    <w:link w:val="8"/>
    <w:qFormat/>
    <w:uiPriority w:val="99"/>
    <w:rPr>
      <w:kern w:val="2"/>
      <w:sz w:val="18"/>
      <w:szCs w:val="18"/>
    </w:rPr>
  </w:style>
  <w:style w:type="character" w:customStyle="1" w:styleId="22">
    <w:name w:val="批注框文本 字符"/>
    <w:basedOn w:val="12"/>
    <w:link w:val="5"/>
    <w:qFormat/>
    <w:uiPriority w:val="0"/>
    <w:rPr>
      <w:kern w:val="2"/>
      <w:sz w:val="18"/>
      <w:szCs w:val="18"/>
    </w:rPr>
  </w:style>
  <w:style w:type="character" w:customStyle="1" w:styleId="23">
    <w:name w:val="批注文字 字符"/>
    <w:basedOn w:val="12"/>
    <w:link w:val="4"/>
    <w:qFormat/>
    <w:uiPriority w:val="0"/>
    <w:rPr>
      <w:kern w:val="2"/>
      <w:sz w:val="21"/>
      <w:szCs w:val="24"/>
    </w:rPr>
  </w:style>
  <w:style w:type="character" w:customStyle="1" w:styleId="24">
    <w:name w:val="批注主题 字符"/>
    <w:basedOn w:val="23"/>
    <w:link w:val="10"/>
    <w:qFormat/>
    <w:uiPriority w:val="0"/>
    <w:rPr>
      <w:b/>
      <w:bCs/>
      <w:kern w:val="2"/>
      <w:sz w:val="21"/>
      <w:szCs w:val="24"/>
    </w:rPr>
  </w:style>
  <w:style w:type="character" w:customStyle="1" w:styleId="25">
    <w:name w:val="fontstyle01"/>
    <w:basedOn w:val="12"/>
    <w:qFormat/>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FA37-CF12-4C78-9ADE-D790303447A8}">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2993</Words>
  <Characters>3047</Characters>
  <Lines>59</Lines>
  <Paragraphs>24</Paragraphs>
  <TotalTime>40</TotalTime>
  <ScaleCrop>false</ScaleCrop>
  <LinksUpToDate>false</LinksUpToDate>
  <CharactersWithSpaces>3073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2020-12-19T09:04:00Z</dcterms:created>
  <dc:creator>桑锦龙</dc:creator>
  <cp:lastModifiedBy>黄汉周</cp:lastModifiedBy>
  <cp:lastPrinted>2021-12-22T03:07:00Z</cp:lastPrinted>
  <dcterms:modified xsi:type="dcterms:W3CDTF">2023-12-29T02:23:21Z</dcterms:modified>
  <cp:revision>612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0F2973CE999C43F6927AD01C30385107_13</vt:lpwstr>
  </property>
</Properties>
</file>