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202</w:t>
      </w:r>
      <w:r>
        <w:rPr>
          <w:rFonts w:hint="eastAsia" w:eastAsia="方正小标宋简体"/>
          <w:sz w:val="44"/>
          <w:szCs w:val="44"/>
        </w:rPr>
        <w:t>3</w:t>
      </w:r>
      <w:r>
        <w:rPr>
          <w:rFonts w:eastAsia="方正小标宋简体"/>
          <w:sz w:val="44"/>
          <w:szCs w:val="44"/>
        </w:rPr>
        <w:t>年度个人述职报告</w:t>
      </w:r>
    </w:p>
    <w:p>
      <w:pPr>
        <w:spacing w:line="560" w:lineRule="exact"/>
        <w:jc w:val="center"/>
        <w:rPr>
          <w:rFonts w:hint="eastAsia" w:eastAsia="楷体_GB2312"/>
          <w:sz w:val="32"/>
          <w:szCs w:val="32"/>
          <w:lang w:eastAsia="zh-CN"/>
        </w:rPr>
      </w:pPr>
      <w:r>
        <w:rPr>
          <w:rFonts w:hint="eastAsia" w:eastAsia="楷体_GB2312"/>
          <w:sz w:val="32"/>
          <w:szCs w:val="32"/>
          <w:lang w:eastAsia="zh-CN"/>
        </w:rPr>
        <w:t>（</w:t>
      </w:r>
      <w:r>
        <w:rPr>
          <w:rFonts w:hint="eastAsia" w:eastAsia="楷体_GB2312"/>
          <w:sz w:val="32"/>
          <w:szCs w:val="32"/>
        </w:rPr>
        <w:t>信息科技教育学院</w:t>
      </w:r>
      <w:r>
        <w:rPr>
          <w:rFonts w:hint="eastAsia" w:eastAsia="楷体_GB2312"/>
          <w:sz w:val="32"/>
          <w:szCs w:val="32"/>
          <w:lang w:val="en-US" w:eastAsia="zh-CN"/>
        </w:rPr>
        <w:t>直属党支部书记、</w:t>
      </w:r>
      <w:r>
        <w:rPr>
          <w:rFonts w:hint="eastAsia" w:eastAsia="楷体_GB2312"/>
          <w:sz w:val="32"/>
          <w:szCs w:val="32"/>
        </w:rPr>
        <w:t xml:space="preserve">院长 </w:t>
      </w:r>
      <w:r>
        <w:rPr>
          <w:rFonts w:eastAsia="楷体_GB2312"/>
          <w:sz w:val="32"/>
          <w:szCs w:val="32"/>
        </w:rPr>
        <w:t xml:space="preserve"> </w:t>
      </w:r>
      <w:r>
        <w:rPr>
          <w:rFonts w:hint="eastAsia" w:eastAsia="楷体_GB2312"/>
          <w:sz w:val="32"/>
          <w:szCs w:val="32"/>
        </w:rPr>
        <w:t>吴珊</w:t>
      </w:r>
      <w:r>
        <w:rPr>
          <w:rFonts w:hint="eastAsia" w:eastAsia="楷体_GB2312"/>
          <w:sz w:val="32"/>
          <w:szCs w:val="32"/>
          <w:lang w:eastAsia="zh-CN"/>
        </w:rPr>
        <w:t>）</w:t>
      </w:r>
      <w:bookmarkStart w:id="1" w:name="_GoBack"/>
      <w:bookmarkEnd w:id="1"/>
    </w:p>
    <w:p>
      <w:pPr>
        <w:spacing w:line="540" w:lineRule="exact"/>
        <w:ind w:firstLine="640" w:firstLineChars="200"/>
        <w:jc w:val="center"/>
        <w:rPr>
          <w:rFonts w:eastAsia="楷体"/>
          <w:sz w:val="32"/>
          <w:szCs w:val="32"/>
        </w:rPr>
      </w:pPr>
    </w:p>
    <w:p>
      <w:pPr>
        <w:spacing w:line="540" w:lineRule="exact"/>
        <w:ind w:firstLine="640" w:firstLineChars="20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一、述德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sz w:val="32"/>
          <w:szCs w:val="30"/>
        </w:rPr>
      </w:pPr>
      <w:r>
        <w:rPr>
          <w:rFonts w:hint="eastAsia" w:ascii="仿宋_GB2312" w:eastAsia="仿宋_GB2312"/>
          <w:sz w:val="32"/>
          <w:szCs w:val="30"/>
        </w:rPr>
        <w:t>以主题教育为契机，积极参加读书班和各类培训，认真学习贯彻习近平新时代中国特色社会主义思想和重要讲话精神，不断强化理论武装，努力做到学深悟透、融会贯通、真信笃行，不断增强“四个意识”，</w:t>
      </w:r>
      <w:r>
        <w:rPr>
          <w:rFonts w:ascii="仿宋_GB2312" w:eastAsia="仿宋_GB2312"/>
          <w:sz w:val="32"/>
          <w:szCs w:val="30"/>
        </w:rPr>
        <w:t>坚定“四个自信”，</w:t>
      </w:r>
      <w:r>
        <w:rPr>
          <w:rFonts w:hint="eastAsia" w:ascii="仿宋_GB2312" w:eastAsia="仿宋_GB2312"/>
          <w:sz w:val="32"/>
          <w:szCs w:val="30"/>
        </w:rPr>
        <w:t>做到“两个维护”，在思想淬炼中坚定信仰，以理论自信提升行动自觉。坚决贯彻执行院党委的各项工作部署，坚持立德树人的根本任务，把握正确的发展方向，以认真的态度、严谨的作风、饱满的精神投入到实际工作中，履职尽责，营造干事创业的良好氛围。</w:t>
      </w:r>
    </w:p>
    <w:p>
      <w:pPr>
        <w:spacing w:line="540" w:lineRule="exact"/>
        <w:ind w:firstLine="640" w:firstLineChars="20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二、述职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sz w:val="32"/>
          <w:szCs w:val="30"/>
        </w:rPr>
      </w:pPr>
      <w:r>
        <w:rPr>
          <w:rFonts w:hint="eastAsia" w:ascii="仿宋_GB2312" w:eastAsia="仿宋_GB2312"/>
          <w:sz w:val="32"/>
          <w:szCs w:val="30"/>
        </w:rPr>
        <w:t>（一）年度重点目标任务完成情况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sz w:val="32"/>
          <w:szCs w:val="30"/>
        </w:rPr>
      </w:pPr>
      <w:r>
        <w:rPr>
          <w:rFonts w:hint="eastAsia" w:ascii="仿宋_GB2312" w:eastAsia="仿宋_GB2312"/>
          <w:sz w:val="32"/>
          <w:szCs w:val="30"/>
        </w:rPr>
        <w:t>1</w:t>
      </w:r>
      <w:r>
        <w:rPr>
          <w:rFonts w:ascii="仿宋_GB2312" w:eastAsia="仿宋_GB2312"/>
          <w:sz w:val="32"/>
          <w:szCs w:val="30"/>
        </w:rPr>
        <w:t>.</w:t>
      </w:r>
      <w:r>
        <w:rPr>
          <w:rFonts w:hint="eastAsia" w:ascii="仿宋_GB2312" w:eastAsia="仿宋_GB2312"/>
          <w:sz w:val="32"/>
          <w:szCs w:val="30"/>
        </w:rPr>
        <w:t>加强二院内涵建设，促进事业高质量发展。加强队伍建设，高度重视青年教师培养，支持三名青年教师深入基础教育实践，帮助每一位青年教师规划专业发展方向；加大引进人才力度，严格履行程序，组织公开招聘、优培计划资格审核和试讲工作；支持1</w:t>
      </w:r>
      <w:r>
        <w:rPr>
          <w:rFonts w:ascii="仿宋_GB2312" w:eastAsia="仿宋_GB2312"/>
          <w:sz w:val="32"/>
          <w:szCs w:val="30"/>
        </w:rPr>
        <w:t>5</w:t>
      </w:r>
      <w:r>
        <w:rPr>
          <w:rFonts w:hint="eastAsia" w:ascii="仿宋_GB2312" w:eastAsia="仿宋_GB2312"/>
          <w:sz w:val="32"/>
          <w:szCs w:val="30"/>
        </w:rPr>
        <w:t>名（占教师总数7</w:t>
      </w:r>
      <w:r>
        <w:rPr>
          <w:rFonts w:ascii="仿宋_GB2312" w:eastAsia="仿宋_GB2312"/>
          <w:sz w:val="32"/>
          <w:szCs w:val="30"/>
        </w:rPr>
        <w:t>5%</w:t>
      </w:r>
      <w:r>
        <w:rPr>
          <w:rFonts w:hint="eastAsia" w:ascii="仿宋_GB2312" w:eastAsia="仿宋_GB2312"/>
          <w:sz w:val="32"/>
          <w:szCs w:val="30"/>
        </w:rPr>
        <w:t>）教师参加各类培训和学术交流，在经费方面提供保障；</w:t>
      </w:r>
      <w:r>
        <w:rPr>
          <w:rFonts w:ascii="仿宋_GB2312" w:eastAsia="仿宋_GB2312"/>
          <w:sz w:val="32"/>
          <w:szCs w:val="30"/>
        </w:rPr>
        <w:t>以“共读共享共提升”为目标，组织</w:t>
      </w:r>
      <w:r>
        <w:rPr>
          <w:rFonts w:hint="eastAsia" w:ascii="仿宋_GB2312" w:eastAsia="仿宋_GB2312"/>
          <w:sz w:val="32"/>
          <w:szCs w:val="30"/>
        </w:rPr>
        <w:t>开展</w:t>
      </w:r>
      <w:r>
        <w:rPr>
          <w:rFonts w:ascii="仿宋_GB2312" w:eastAsia="仿宋_GB2312"/>
          <w:sz w:val="32"/>
          <w:szCs w:val="30"/>
        </w:rPr>
        <w:t>“共读一本书”活动，营造“书香”氛围，提升学习能力</w:t>
      </w:r>
      <w:r>
        <w:rPr>
          <w:rFonts w:hint="eastAsia" w:ascii="仿宋_GB2312" w:eastAsia="仿宋_GB2312"/>
          <w:sz w:val="32"/>
          <w:szCs w:val="30"/>
        </w:rPr>
        <w:t>。依托主题教育大兴调查研究之风，聚焦中小学劳动教育及教师数字素养提升开展专题调研，全力推动主题教育与实现高质量发展互促并进，与推动二院工作任务紧密结合，与健全完善制度加强</w:t>
      </w:r>
      <w:r>
        <w:rPr>
          <w:rFonts w:ascii="仿宋_GB2312" w:eastAsia="仿宋_GB2312"/>
          <w:sz w:val="32"/>
          <w:szCs w:val="30"/>
        </w:rPr>
        <w:t>调研解决实际</w:t>
      </w:r>
      <w:r>
        <w:rPr>
          <w:rFonts w:hint="eastAsia" w:ascii="仿宋_GB2312" w:eastAsia="仿宋_GB2312"/>
          <w:sz w:val="32"/>
          <w:szCs w:val="30"/>
        </w:rPr>
        <w:t>问题有机协同。推动课程建设，明确二院课程建设三个方向，以“一人一课”教师风采展示活动为抓手，梳理课程建设体系框架，落实学院“一师一优课”建设。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sz w:val="32"/>
          <w:szCs w:val="30"/>
        </w:rPr>
      </w:pPr>
      <w:r>
        <w:rPr>
          <w:rFonts w:ascii="仿宋_GB2312" w:eastAsia="仿宋_GB2312"/>
          <w:sz w:val="32"/>
          <w:szCs w:val="30"/>
        </w:rPr>
        <w:t>2.</w:t>
      </w:r>
      <w:r>
        <w:rPr>
          <w:rFonts w:hint="eastAsia" w:ascii="仿宋_GB2312" w:eastAsia="仿宋_GB2312"/>
          <w:sz w:val="32"/>
          <w:szCs w:val="30"/>
        </w:rPr>
        <w:t>拓展优化培训布局，高质量完成培训任务。开拓市场，拓展学科，组织团队首次申报并成功举办“国培计划”（2023）示范培训综合改革项目，首次举办劳动教育、中小学课堂数字化2个优青培训项目。狠抓教学常规和质量管理，开展教学督导，举办教学质量工作会，将“以督提质”落在实处。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sz w:val="32"/>
          <w:szCs w:val="30"/>
        </w:rPr>
      </w:pPr>
      <w:r>
        <w:rPr>
          <w:rFonts w:ascii="仿宋_GB2312" w:eastAsia="仿宋_GB2312"/>
          <w:sz w:val="32"/>
          <w:szCs w:val="30"/>
        </w:rPr>
        <w:t>3.</w:t>
      </w:r>
      <w:r>
        <w:rPr>
          <w:rFonts w:hint="eastAsia" w:ascii="仿宋_GB2312" w:eastAsia="仿宋_GB2312"/>
          <w:sz w:val="32"/>
          <w:szCs w:val="30"/>
        </w:rPr>
        <w:t>建好用好北京教师学习网，</w:t>
      </w:r>
      <w:r>
        <w:rPr>
          <w:rFonts w:hint="eastAsia" w:ascii="仿宋_GB2312" w:eastAsia="仿宋_GB2312"/>
          <w:sz w:val="32"/>
          <w:szCs w:val="32"/>
        </w:rPr>
        <w:t>为促进首都基础教育数字化转型提供强大支撑</w:t>
      </w:r>
      <w:r>
        <w:rPr>
          <w:rFonts w:hint="eastAsia" w:ascii="仿宋_GB2312" w:eastAsia="仿宋_GB2312"/>
          <w:sz w:val="32"/>
          <w:szCs w:val="30"/>
        </w:rPr>
        <w:t>。建机制，建立联席会沟通机制，实现共研共建共享；推使用，组织教师、管理人员培训，开展一对一咨询服务，随时跟进，为教学活动提供全方位支撑，本年度平台访问量超3</w:t>
      </w:r>
      <w:r>
        <w:rPr>
          <w:rFonts w:ascii="仿宋_GB2312" w:eastAsia="仿宋_GB2312"/>
          <w:sz w:val="32"/>
          <w:szCs w:val="30"/>
        </w:rPr>
        <w:t>00</w:t>
      </w:r>
      <w:r>
        <w:rPr>
          <w:rFonts w:hint="eastAsia" w:ascii="仿宋_GB2312" w:eastAsia="仿宋_GB2312"/>
          <w:sz w:val="32"/>
          <w:szCs w:val="30"/>
        </w:rPr>
        <w:t>万人次，承担各类培训项目4</w:t>
      </w:r>
      <w:r>
        <w:rPr>
          <w:rFonts w:ascii="仿宋_GB2312" w:eastAsia="仿宋_GB2312"/>
          <w:sz w:val="32"/>
          <w:szCs w:val="30"/>
        </w:rPr>
        <w:t>39</w:t>
      </w:r>
      <w:r>
        <w:rPr>
          <w:rFonts w:hint="eastAsia" w:ascii="仿宋_GB2312" w:eastAsia="仿宋_GB2312"/>
          <w:sz w:val="32"/>
          <w:szCs w:val="30"/>
        </w:rPr>
        <w:t>个，参训人数2</w:t>
      </w:r>
      <w:r>
        <w:rPr>
          <w:rFonts w:ascii="仿宋_GB2312" w:eastAsia="仿宋_GB2312"/>
          <w:sz w:val="32"/>
          <w:szCs w:val="30"/>
        </w:rPr>
        <w:t>14349</w:t>
      </w:r>
      <w:r>
        <w:rPr>
          <w:rFonts w:hint="eastAsia" w:ascii="仿宋_GB2312" w:eastAsia="仿宋_GB2312"/>
          <w:sz w:val="32"/>
          <w:szCs w:val="30"/>
        </w:rPr>
        <w:t>人，承担大型活动直播8</w:t>
      </w:r>
      <w:r>
        <w:rPr>
          <w:rFonts w:ascii="仿宋_GB2312" w:eastAsia="仿宋_GB2312"/>
          <w:sz w:val="32"/>
          <w:szCs w:val="30"/>
        </w:rPr>
        <w:t>9</w:t>
      </w:r>
      <w:r>
        <w:rPr>
          <w:rFonts w:hint="eastAsia" w:ascii="仿宋_GB2312" w:eastAsia="仿宋_GB2312"/>
          <w:sz w:val="32"/>
          <w:szCs w:val="30"/>
        </w:rPr>
        <w:t>场，线上参会人数3</w:t>
      </w:r>
      <w:r>
        <w:rPr>
          <w:rFonts w:ascii="仿宋_GB2312" w:eastAsia="仿宋_GB2312"/>
          <w:sz w:val="32"/>
          <w:szCs w:val="30"/>
        </w:rPr>
        <w:t>88600</w:t>
      </w:r>
      <w:r>
        <w:rPr>
          <w:rFonts w:hint="eastAsia" w:ascii="仿宋_GB2312" w:eastAsia="仿宋_GB2312"/>
          <w:sz w:val="32"/>
          <w:szCs w:val="30"/>
        </w:rPr>
        <w:t>人次；建资源，加强公共课程资源建设，共上线课程资源946节（讲）；抓规范，制定并出台《北京教师学习网管理办法（试行）》；顺利通过市教委绩效考核，参训学员满意度为94%。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sz w:val="32"/>
          <w:szCs w:val="30"/>
        </w:rPr>
      </w:pPr>
      <w:r>
        <w:rPr>
          <w:rFonts w:ascii="仿宋_GB2312" w:eastAsia="仿宋_GB2312"/>
          <w:sz w:val="32"/>
          <w:szCs w:val="30"/>
        </w:rPr>
        <w:t>4.</w:t>
      </w:r>
      <w:r>
        <w:rPr>
          <w:rFonts w:hint="eastAsia" w:ascii="仿宋_GB2312" w:eastAsia="仿宋_GB2312"/>
          <w:sz w:val="32"/>
          <w:szCs w:val="30"/>
        </w:rPr>
        <w:t>促进新教师素养提升，成功举办第七届“启航杯”。持续发挥“启航杯”在新教师培训领域的专业引领，不断扩大影响力，引导并促进教育数字化转型，充分运用信息技术和大数据手段，实施精准指导，探索新教师画像；梳理总结“启航杯”七年的经验，组织申报北京市教育大数据创新应用案例和</w:t>
      </w:r>
      <w:r>
        <w:rPr>
          <w:rFonts w:ascii="仿宋_GB2312" w:eastAsia="仿宋_GB2312"/>
          <w:sz w:val="32"/>
          <w:szCs w:val="30"/>
        </w:rPr>
        <w:t>提升全民数字素养与技能优秀案例</w:t>
      </w:r>
      <w:r>
        <w:rPr>
          <w:rFonts w:hint="eastAsia" w:ascii="仿宋_GB2312" w:eastAsia="仿宋_GB2312"/>
          <w:sz w:val="32"/>
          <w:szCs w:val="30"/>
        </w:rPr>
        <w:t>。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sz w:val="32"/>
          <w:szCs w:val="30"/>
        </w:rPr>
      </w:pPr>
      <w:r>
        <w:rPr>
          <w:rFonts w:ascii="仿宋_GB2312" w:eastAsia="仿宋_GB2312"/>
          <w:sz w:val="32"/>
          <w:szCs w:val="30"/>
        </w:rPr>
        <w:t>5.</w:t>
      </w:r>
      <w:r>
        <w:rPr>
          <w:rFonts w:hint="eastAsia" w:ascii="仿宋_GB2312" w:eastAsia="仿宋_GB2312"/>
          <w:sz w:val="32"/>
          <w:szCs w:val="30"/>
        </w:rPr>
        <w:t>推进有组织的科研，促进研训一体和成果转化。落实三方责任，每学期举办阶段成果展示交流，加强对学科创新平台和非实体性研究平台的管理和支持；实施研训一体，聚焦劳动教育、数字素养提升、变革教与学方式承办全国和市级层面大型交流研讨活动3场，以及第三届教师学习与专业发展国际研讨会“素养提升与融合创新”分论坛；坚持举办二级学院年度学术年会系列活动3场。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sz w:val="32"/>
          <w:szCs w:val="30"/>
        </w:rPr>
      </w:pPr>
      <w:r>
        <w:rPr>
          <w:rFonts w:hint="eastAsia" w:ascii="仿宋_GB2312" w:eastAsia="仿宋_GB2312"/>
          <w:sz w:val="32"/>
          <w:szCs w:val="30"/>
        </w:rPr>
        <w:t>（二）制度执行情况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sz w:val="32"/>
          <w:szCs w:val="30"/>
        </w:rPr>
      </w:pPr>
      <w:r>
        <w:rPr>
          <w:rFonts w:hint="eastAsia" w:ascii="仿宋_GB2312" w:eastAsia="仿宋_GB2312"/>
          <w:sz w:val="32"/>
          <w:szCs w:val="30"/>
        </w:rPr>
        <w:t>遵守国家法律法规，维护宪法尊严和制度权威，履行公民的责任与义务。</w:t>
      </w:r>
      <w:bookmarkStart w:id="0" w:name="_Hlk123568827"/>
      <w:r>
        <w:rPr>
          <w:rFonts w:hint="eastAsia" w:ascii="仿宋_GB2312" w:eastAsia="仿宋_GB2312"/>
          <w:sz w:val="32"/>
          <w:szCs w:val="30"/>
        </w:rPr>
        <w:t>严格执行“三重一大”制度，坚持集体领导、分工负责、民主决策，全年参加总支委会</w:t>
      </w:r>
      <w:r>
        <w:rPr>
          <w:rFonts w:ascii="仿宋_GB2312" w:eastAsia="仿宋_GB2312"/>
          <w:sz w:val="32"/>
          <w:szCs w:val="30"/>
        </w:rPr>
        <w:t>14</w:t>
      </w:r>
      <w:r>
        <w:rPr>
          <w:rFonts w:hint="eastAsia" w:ascii="仿宋_GB2312" w:eastAsia="仿宋_GB2312"/>
          <w:sz w:val="32"/>
          <w:szCs w:val="30"/>
        </w:rPr>
        <w:t>次、党政联席会</w:t>
      </w:r>
      <w:r>
        <w:rPr>
          <w:rFonts w:ascii="仿宋_GB2312" w:eastAsia="仿宋_GB2312"/>
          <w:sz w:val="32"/>
          <w:szCs w:val="30"/>
        </w:rPr>
        <w:t>11</w:t>
      </w:r>
      <w:r>
        <w:rPr>
          <w:rFonts w:hint="eastAsia" w:ascii="仿宋_GB2312" w:eastAsia="仿宋_GB2312"/>
          <w:sz w:val="32"/>
          <w:szCs w:val="30"/>
        </w:rPr>
        <w:t>次、班子会</w:t>
      </w:r>
      <w:r>
        <w:rPr>
          <w:rFonts w:ascii="仿宋_GB2312" w:eastAsia="仿宋_GB2312"/>
          <w:sz w:val="32"/>
          <w:szCs w:val="30"/>
        </w:rPr>
        <w:t>29</w:t>
      </w:r>
      <w:r>
        <w:rPr>
          <w:rFonts w:hint="eastAsia" w:ascii="仿宋_GB2312" w:eastAsia="仿宋_GB2312"/>
          <w:sz w:val="32"/>
          <w:szCs w:val="30"/>
        </w:rPr>
        <w:t>次。贯彻执行学院各项规章制度，及时传达，对涉及教师切身利益的制度组织学习和解读，做到理解正确、按章执行</w:t>
      </w:r>
      <w:bookmarkEnd w:id="0"/>
      <w:r>
        <w:rPr>
          <w:rFonts w:hint="eastAsia" w:ascii="仿宋_GB2312" w:eastAsia="仿宋_GB2312"/>
          <w:sz w:val="32"/>
          <w:szCs w:val="30"/>
        </w:rPr>
        <w:t>。持续完善二院规章制度和优化工作流程，运用制度谋事干事，逐步提高教职工的制度意识，做到行使权力有依据，本年度出台制度2个，优化三类流程，并集结成册。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sz w:val="32"/>
          <w:szCs w:val="30"/>
        </w:rPr>
      </w:pPr>
      <w:r>
        <w:rPr>
          <w:rFonts w:hint="eastAsia" w:ascii="仿宋_GB2312" w:eastAsia="仿宋_GB2312"/>
          <w:sz w:val="32"/>
          <w:szCs w:val="30"/>
        </w:rPr>
        <w:t>（三）其他工作完成情况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sz w:val="32"/>
          <w:szCs w:val="30"/>
        </w:rPr>
      </w:pPr>
      <w:r>
        <w:rPr>
          <w:rFonts w:ascii="仿宋_GB2312" w:eastAsia="仿宋_GB2312"/>
          <w:sz w:val="32"/>
          <w:szCs w:val="30"/>
        </w:rPr>
        <w:t>1.</w:t>
      </w:r>
      <w:r>
        <w:rPr>
          <w:rFonts w:hint="eastAsia" w:ascii="仿宋_GB2312" w:eastAsia="仿宋_GB2312"/>
          <w:sz w:val="32"/>
          <w:szCs w:val="30"/>
        </w:rPr>
        <w:t>履行党总支副书记职责。加强党建与业务工作深度融合，组织“凝聚思政育人共识，加强‘课程思政’建设”主题党日活动，</w:t>
      </w:r>
      <w:r>
        <w:rPr>
          <w:rFonts w:ascii="仿宋_GB2312" w:eastAsia="仿宋_GB2312"/>
          <w:sz w:val="32"/>
          <w:szCs w:val="30"/>
        </w:rPr>
        <w:t>推进</w:t>
      </w:r>
      <w:r>
        <w:rPr>
          <w:rFonts w:hint="eastAsia" w:ascii="仿宋_GB2312" w:eastAsia="仿宋_GB2312"/>
          <w:sz w:val="32"/>
          <w:szCs w:val="30"/>
        </w:rPr>
        <w:t>课程</w:t>
      </w:r>
      <w:r>
        <w:rPr>
          <w:rFonts w:ascii="仿宋_GB2312" w:eastAsia="仿宋_GB2312"/>
          <w:sz w:val="32"/>
          <w:szCs w:val="30"/>
        </w:rPr>
        <w:t>思政</w:t>
      </w:r>
      <w:r>
        <w:rPr>
          <w:rFonts w:hint="eastAsia" w:ascii="仿宋_GB2312" w:eastAsia="仿宋_GB2312"/>
          <w:sz w:val="32"/>
          <w:szCs w:val="30"/>
        </w:rPr>
        <w:t>走向</w:t>
      </w:r>
      <w:r>
        <w:rPr>
          <w:rFonts w:ascii="仿宋_GB2312" w:eastAsia="仿宋_GB2312"/>
          <w:sz w:val="32"/>
          <w:szCs w:val="30"/>
        </w:rPr>
        <w:t>深</w:t>
      </w:r>
      <w:r>
        <w:rPr>
          <w:rFonts w:hint="eastAsia" w:ascii="仿宋_GB2312" w:eastAsia="仿宋_GB2312"/>
          <w:sz w:val="32"/>
          <w:szCs w:val="30"/>
        </w:rPr>
        <w:t>入。开展</w:t>
      </w:r>
      <w:r>
        <w:rPr>
          <w:rFonts w:ascii="仿宋_GB2312" w:eastAsia="仿宋_GB2312"/>
          <w:sz w:val="32"/>
          <w:szCs w:val="30"/>
        </w:rPr>
        <w:t>师德集</w:t>
      </w:r>
      <w:r>
        <w:rPr>
          <w:rFonts w:hint="eastAsia" w:ascii="仿宋_GB2312" w:eastAsia="仿宋_GB2312"/>
          <w:sz w:val="32"/>
          <w:szCs w:val="30"/>
        </w:rPr>
        <w:t>中</w:t>
      </w:r>
      <w:r>
        <w:rPr>
          <w:rFonts w:ascii="仿宋_GB2312" w:eastAsia="仿宋_GB2312"/>
          <w:sz w:val="32"/>
          <w:szCs w:val="30"/>
        </w:rPr>
        <w:t>学习教育活动</w:t>
      </w:r>
      <w:r>
        <w:rPr>
          <w:rFonts w:hint="eastAsia" w:ascii="仿宋_GB2312" w:eastAsia="仿宋_GB2312"/>
          <w:sz w:val="32"/>
          <w:szCs w:val="30"/>
        </w:rPr>
        <w:t>, 通过政策学习和研讨交流，进一步提升全体教职工崇尚师德，敬业爱岗的思想意识。围绕“三会一课”制度落实，组织开展党总支和所属党支部规范化建设自查，对发现的问题做到立行立改，不断加强规范化建设。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sz w:val="32"/>
          <w:szCs w:val="30"/>
        </w:rPr>
      </w:pPr>
      <w:r>
        <w:rPr>
          <w:rFonts w:ascii="仿宋_GB2312" w:eastAsia="仿宋_GB2312"/>
          <w:sz w:val="32"/>
          <w:szCs w:val="30"/>
        </w:rPr>
        <w:t>2.</w:t>
      </w:r>
      <w:r>
        <w:rPr>
          <w:rFonts w:hint="eastAsia" w:ascii="仿宋_GB2312" w:eastAsia="仿宋_GB2312"/>
          <w:sz w:val="32"/>
          <w:szCs w:val="30"/>
        </w:rPr>
        <w:t>履行意识形态和安全稳定工作职责。把意识形态工作与业务工作同部署、同落实、同检查、同考核。关注教职工思想动态，加强警示提醒，发现苗头性问题敢于发声，落实意识形态和安全稳定工作人人有责。加强意识形态阵地管理，执行讲座论坛报备制度，严格审核图书采购清单。开展网络安全教育和培训，提出使用互联网的安全要求，提高教职工的网络安全意识。</w:t>
      </w:r>
    </w:p>
    <w:p>
      <w:pPr>
        <w:spacing w:line="540" w:lineRule="exact"/>
        <w:ind w:firstLine="640" w:firstLineChars="20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三、述廉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sz w:val="32"/>
          <w:szCs w:val="30"/>
        </w:rPr>
      </w:pPr>
      <w:r>
        <w:rPr>
          <w:rFonts w:hint="eastAsia" w:ascii="仿宋_GB2312" w:eastAsia="仿宋_GB2312"/>
          <w:sz w:val="32"/>
          <w:szCs w:val="30"/>
        </w:rPr>
        <w:t>（一）严守政治纪律和政治规矩，认真落实中央八项规定精神，严格履行重大事项提交学院审议程序，认真执行重大事项请示报告制度，如实报告个人有关事项。在</w:t>
      </w:r>
      <w:r>
        <w:rPr>
          <w:rFonts w:ascii="仿宋_GB2312" w:eastAsia="仿宋_GB2312"/>
          <w:sz w:val="32"/>
          <w:szCs w:val="30"/>
        </w:rPr>
        <w:t>社会组织兼职</w:t>
      </w:r>
      <w:r>
        <w:rPr>
          <w:rFonts w:hint="eastAsia" w:ascii="仿宋_GB2312" w:eastAsia="仿宋_GB2312"/>
          <w:sz w:val="32"/>
          <w:szCs w:val="30"/>
        </w:rPr>
        <w:t>中，无任何取酬和费用报销。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sz w:val="32"/>
          <w:szCs w:val="30"/>
        </w:rPr>
      </w:pPr>
      <w:r>
        <w:rPr>
          <w:rFonts w:hint="eastAsia" w:ascii="仿宋_GB2312" w:eastAsia="仿宋_GB2312"/>
          <w:sz w:val="32"/>
          <w:szCs w:val="30"/>
        </w:rPr>
        <w:t>（二）履行党风廉政建设“一岗双责”政治责任。做到廉政工作与行政工作同部署、同研究、同落实，组织开展党风廉政建设与反腐败宣传教育月系列教育活动，组织开展合同管理、《教育教学中外请教师讲课费和咨询费执行标准》、《北京市市级党政机关事业单位培训费管理办法》等相关文件学习，提高教职工守法意识、廉洁意识、制度意识。遵守学院财务规章，严格审核报销单据和合同。</w:t>
      </w:r>
      <w:r>
        <w:rPr>
          <w:rFonts w:ascii="仿宋_GB2312" w:eastAsia="仿宋_GB2312"/>
          <w:sz w:val="32"/>
          <w:szCs w:val="30"/>
        </w:rPr>
        <w:t xml:space="preserve"> </w:t>
      </w:r>
    </w:p>
    <w:p>
      <w:pPr>
        <w:spacing w:line="540" w:lineRule="exact"/>
        <w:ind w:firstLine="640" w:firstLineChars="20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四、存在的问题和不足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sz w:val="32"/>
          <w:szCs w:val="30"/>
        </w:rPr>
      </w:pPr>
      <w:r>
        <w:rPr>
          <w:rFonts w:hint="eastAsia" w:ascii="仿宋_GB2312" w:eastAsia="仿宋_GB2312"/>
          <w:sz w:val="32"/>
          <w:szCs w:val="30"/>
        </w:rPr>
        <w:t>理论学习的成果转化能力和指导实践的能力还不够强，在学以致用方面有待提升；整合有限专业资源发挥“1</w:t>
      </w:r>
      <w:r>
        <w:rPr>
          <w:rFonts w:ascii="仿宋_GB2312" w:eastAsia="仿宋_GB2312"/>
          <w:sz w:val="32"/>
          <w:szCs w:val="30"/>
        </w:rPr>
        <w:t>+1</w:t>
      </w:r>
      <w:r>
        <w:rPr>
          <w:rFonts w:hint="eastAsia" w:ascii="仿宋_GB2312" w:eastAsia="仿宋_GB2312"/>
          <w:sz w:val="32"/>
          <w:szCs w:val="30"/>
        </w:rPr>
        <w:t>&gt;</w:t>
      </w:r>
      <w:r>
        <w:rPr>
          <w:rFonts w:ascii="仿宋_GB2312" w:eastAsia="仿宋_GB2312"/>
          <w:sz w:val="32"/>
          <w:szCs w:val="30"/>
        </w:rPr>
        <w:t>2</w:t>
      </w:r>
      <w:r>
        <w:rPr>
          <w:rFonts w:hint="eastAsia" w:ascii="仿宋_GB2312" w:eastAsia="仿宋_GB2312"/>
          <w:sz w:val="32"/>
          <w:szCs w:val="30"/>
        </w:rPr>
        <w:t>”效应还不够强，统筹谋划和资源整合的能力有待提升；激发教职工内生动力的能力还有欠缺。</w:t>
      </w:r>
    </w:p>
    <w:p>
      <w:pPr>
        <w:spacing w:line="540" w:lineRule="exact"/>
        <w:ind w:firstLine="640" w:firstLineChars="200"/>
        <w:jc w:val="left"/>
        <w:rPr>
          <w:rFonts w:eastAsia="楷体"/>
          <w:sz w:val="32"/>
          <w:szCs w:val="32"/>
        </w:rPr>
      </w:pPr>
      <w:r>
        <w:rPr>
          <w:rFonts w:eastAsia="黑体"/>
          <w:sz w:val="32"/>
          <w:szCs w:val="32"/>
        </w:rPr>
        <w:t>五、</w:t>
      </w:r>
      <w:r>
        <w:rPr>
          <w:rFonts w:hint="eastAsia" w:eastAsia="黑体"/>
          <w:sz w:val="32"/>
          <w:szCs w:val="32"/>
        </w:rPr>
        <w:t>2024年</w:t>
      </w:r>
      <w:r>
        <w:rPr>
          <w:rFonts w:eastAsia="黑体"/>
          <w:sz w:val="32"/>
          <w:szCs w:val="32"/>
        </w:rPr>
        <w:t>工作主要思路</w:t>
      </w:r>
      <w:r>
        <w:rPr>
          <w:rFonts w:hint="eastAsia" w:eastAsia="黑体"/>
          <w:sz w:val="32"/>
          <w:szCs w:val="32"/>
        </w:rPr>
        <w:t>和重点目标任务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sz w:val="32"/>
          <w:szCs w:val="30"/>
        </w:rPr>
      </w:pPr>
      <w:r>
        <w:rPr>
          <w:rFonts w:hint="eastAsia" w:ascii="仿宋_GB2312" w:eastAsia="仿宋_GB2312"/>
          <w:sz w:val="32"/>
          <w:szCs w:val="30"/>
        </w:rPr>
        <w:t>坚持高质量党建引领高质量发展，贯彻落实全面从严治党。以教育信息化建设推动教育数字化转型，加强信息化建设统筹管理与责任落实，建好用好北京教师学习网。不断提升教师培训质量，持续推动二级学院课程建设。持续推动有组织科研，促进成果转化，不断提升专业引领力和影响力。举办北京市中小学新任教师第八届“启航杯”教学风采展示活动。不断加强内涵建设，整合专业资源，提升高质量发展的软实力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 w:val="0"/>
      <w:spacing w:line="560" w:lineRule="exact"/>
      <w:ind w:firstLine="360" w:firstLineChars="200"/>
      <w:jc w:val="left"/>
      <w:rPr>
        <w:rFonts w:eastAsia="仿宋_GB2312"/>
        <w:sz w:val="18"/>
      </w:rPr>
    </w:pPr>
    <w:r>
      <w:rPr>
        <w:rFonts w:eastAsia="仿宋_GB2312"/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127635</wp:posOffset>
              </wp:positionV>
              <wp:extent cx="800735" cy="355600"/>
              <wp:effectExtent l="0" t="0" r="0" b="0"/>
              <wp:wrapNone/>
              <wp:docPr id="4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0735" cy="355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spacing w:line="560" w:lineRule="exact"/>
                            <w:ind w:firstLine="560" w:firstLineChars="200"/>
                            <w:jc w:val="left"/>
                            <w:rPr>
                              <w:rStyle w:val="4"/>
                              <w:rFonts w:eastAsia="仿宋_GB2312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10.05pt;height:28pt;width:63.05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KnOFCNAAAAAGAQAADwAAAAAAAAABACAAAAAiAAAAZHJzL2Rvd25yZXYueG1sUEsBAhQA&#10;FAAAAAgAh07iQMWm6/v6AQAAAQQAAA4AAAAAAAAAAQAgAAAAHwEAAGRycy9lMm9Eb2MueG1sUEsF&#10;BgAAAAAGAAYAWQEAAI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spacing w:line="560" w:lineRule="exact"/>
                      <w:ind w:firstLine="560" w:firstLineChars="200"/>
                      <w:jc w:val="left"/>
                      <w:rPr>
                        <w:rStyle w:val="4"/>
                        <w:rFonts w:eastAsia="仿宋_GB2312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rap="around" w:vAnchor="text" w:hAnchor="page" w:x="931" w:y="125"/>
      <w:snapToGrid w:val="0"/>
      <w:spacing w:line="560" w:lineRule="exact"/>
      <w:ind w:firstLine="560" w:firstLineChars="200"/>
      <w:jc w:val="left"/>
      <w:rPr>
        <w:rStyle w:val="4"/>
        <w:rFonts w:ascii="宋体" w:hAnsi="宋体" w:eastAsia="仿宋_GB2312"/>
        <w:sz w:val="28"/>
        <w:szCs w:val="28"/>
      </w:rPr>
    </w:pPr>
    <w:r>
      <w:rPr>
        <w:rStyle w:val="4"/>
        <w:rFonts w:ascii="宋体" w:hAnsi="宋体"/>
        <w:sz w:val="28"/>
        <w:szCs w:val="28"/>
      </w:rPr>
      <w:fldChar w:fldCharType="begin"/>
    </w:r>
    <w:r>
      <w:rPr>
        <w:rStyle w:val="4"/>
        <w:rFonts w:ascii="宋体" w:hAnsi="宋体"/>
        <w:sz w:val="28"/>
        <w:szCs w:val="28"/>
      </w:rPr>
      <w:instrText xml:space="preserve">PAGE  </w:instrText>
    </w:r>
    <w:r>
      <w:rPr>
        <w:rStyle w:val="4"/>
        <w:rFonts w:ascii="宋体" w:hAnsi="宋体"/>
        <w:sz w:val="28"/>
        <w:szCs w:val="28"/>
      </w:rPr>
      <w:fldChar w:fldCharType="separate"/>
    </w:r>
    <w:r>
      <w:rPr>
        <w:rStyle w:val="4"/>
        <w:rFonts w:ascii="宋体" w:hAnsi="宋体"/>
        <w:sz w:val="28"/>
        <w:szCs w:val="28"/>
      </w:rPr>
      <w:t>- 12 -</w:t>
    </w:r>
    <w:r>
      <w:rPr>
        <w:rStyle w:val="4"/>
        <w:rFonts w:ascii="宋体" w:hAnsi="宋体"/>
        <w:sz w:val="28"/>
        <w:szCs w:val="28"/>
      </w:rPr>
      <w:fldChar w:fldCharType="end"/>
    </w:r>
  </w:p>
  <w:p>
    <w:pPr>
      <w:snapToGrid w:val="0"/>
      <w:spacing w:line="560" w:lineRule="exact"/>
      <w:ind w:firstLine="360" w:firstLineChars="200"/>
      <w:jc w:val="left"/>
      <w:rPr>
        <w:rFonts w:eastAsia="仿宋_GB2312"/>
        <w:sz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 w:val="0"/>
      <w:spacing w:line="560" w:lineRule="exact"/>
      <w:ind w:firstLine="360" w:firstLineChars="200"/>
      <w:jc w:val="left"/>
      <w:rPr>
        <w:rFonts w:eastAsia="仿宋_GB2312"/>
        <w:sz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560" w:lineRule="exact"/>
      <w:ind w:left="640"/>
      <w:rPr>
        <w:rFonts w:eastAsia="仿宋_GB2312"/>
        <w:sz w:val="3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560" w:lineRule="exact"/>
      <w:ind w:left="640"/>
      <w:rPr>
        <w:rFonts w:eastAsia="仿宋_GB2312"/>
        <w:sz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single" w:color="auto" w:sz="6" w:space="1"/>
      </w:pBdr>
      <w:snapToGrid w:val="0"/>
      <w:spacing w:line="560" w:lineRule="exact"/>
      <w:ind w:firstLine="360" w:firstLineChars="200"/>
      <w:jc w:val="center"/>
      <w:rPr>
        <w:rFonts w:eastAsia="仿宋_GB2312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k1M2Y1YTUyNzdkZjVlYjk3MjcyNzBlNmFmYWI3YzEifQ=="/>
  </w:docVars>
  <w:rsids>
    <w:rsidRoot w:val="004829CC"/>
    <w:rsid w:val="000056DD"/>
    <w:rsid w:val="0000610F"/>
    <w:rsid w:val="0001657E"/>
    <w:rsid w:val="00023486"/>
    <w:rsid w:val="00026CF2"/>
    <w:rsid w:val="00055687"/>
    <w:rsid w:val="00092270"/>
    <w:rsid w:val="00107202"/>
    <w:rsid w:val="00114FB9"/>
    <w:rsid w:val="001312B7"/>
    <w:rsid w:val="00184043"/>
    <w:rsid w:val="001B0087"/>
    <w:rsid w:val="001E4349"/>
    <w:rsid w:val="002011C2"/>
    <w:rsid w:val="002635BC"/>
    <w:rsid w:val="002642CF"/>
    <w:rsid w:val="00283DE8"/>
    <w:rsid w:val="0029669B"/>
    <w:rsid w:val="00350FBF"/>
    <w:rsid w:val="003816E8"/>
    <w:rsid w:val="003961BF"/>
    <w:rsid w:val="003C19DD"/>
    <w:rsid w:val="003D79ED"/>
    <w:rsid w:val="0042595D"/>
    <w:rsid w:val="004829CC"/>
    <w:rsid w:val="004B3DEA"/>
    <w:rsid w:val="00513A2C"/>
    <w:rsid w:val="00560A12"/>
    <w:rsid w:val="005652A4"/>
    <w:rsid w:val="005A1048"/>
    <w:rsid w:val="005B08F2"/>
    <w:rsid w:val="005B240D"/>
    <w:rsid w:val="005B6E79"/>
    <w:rsid w:val="005E0DC7"/>
    <w:rsid w:val="0061465F"/>
    <w:rsid w:val="00621A5D"/>
    <w:rsid w:val="006427A1"/>
    <w:rsid w:val="00702AAB"/>
    <w:rsid w:val="00763D41"/>
    <w:rsid w:val="007709E7"/>
    <w:rsid w:val="007854E7"/>
    <w:rsid w:val="007A0072"/>
    <w:rsid w:val="007B56B1"/>
    <w:rsid w:val="007B6F43"/>
    <w:rsid w:val="007C3A15"/>
    <w:rsid w:val="007C41BE"/>
    <w:rsid w:val="00824A7B"/>
    <w:rsid w:val="0082677B"/>
    <w:rsid w:val="00884546"/>
    <w:rsid w:val="008E3F2F"/>
    <w:rsid w:val="00901C38"/>
    <w:rsid w:val="00967313"/>
    <w:rsid w:val="0097228B"/>
    <w:rsid w:val="00984A35"/>
    <w:rsid w:val="009B3085"/>
    <w:rsid w:val="009C48C2"/>
    <w:rsid w:val="009D2DAF"/>
    <w:rsid w:val="009E21FC"/>
    <w:rsid w:val="00A101DA"/>
    <w:rsid w:val="00A43194"/>
    <w:rsid w:val="00AB754F"/>
    <w:rsid w:val="00AC16A0"/>
    <w:rsid w:val="00AE515F"/>
    <w:rsid w:val="00B83F9C"/>
    <w:rsid w:val="00BB35A3"/>
    <w:rsid w:val="00C220E4"/>
    <w:rsid w:val="00C271FE"/>
    <w:rsid w:val="00C441A9"/>
    <w:rsid w:val="00D26211"/>
    <w:rsid w:val="00D53F30"/>
    <w:rsid w:val="00D74BF8"/>
    <w:rsid w:val="00EB2D45"/>
    <w:rsid w:val="00F12BFF"/>
    <w:rsid w:val="00F267B2"/>
    <w:rsid w:val="00F50C93"/>
    <w:rsid w:val="00F810B3"/>
    <w:rsid w:val="00FC3EE6"/>
    <w:rsid w:val="00FC6784"/>
    <w:rsid w:val="00FF4E2C"/>
    <w:rsid w:val="17226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仿宋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page number"/>
    <w:basedOn w:val="3"/>
    <w:qFormat/>
    <w:uiPriority w:val="0"/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0EB3DEE-AF0E-400B-9FC4-E18E0822EC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376</Words>
  <Characters>2147</Characters>
  <Lines>17</Lines>
  <Paragraphs>5</Paragraphs>
  <TotalTime>249</TotalTime>
  <ScaleCrop>false</ScaleCrop>
  <LinksUpToDate>false</LinksUpToDate>
  <CharactersWithSpaces>2518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2023-12-20T01:17:00Z</dcterms:created>
  <dc:creator>ws</dc:creator>
  <cp:lastModifiedBy>黄汉周</cp:lastModifiedBy>
  <dcterms:modified xsi:type="dcterms:W3CDTF">2024-01-16T06:10:20Z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1ACC146D27EB494DB5EC182229E56553_12</vt:lpwstr>
  </property>
</Properties>
</file>