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年度个人述职报告</w:t>
      </w:r>
    </w:p>
    <w:p>
      <w:pPr>
        <w:spacing w:line="560" w:lineRule="exact"/>
        <w:jc w:val="center"/>
        <w:rPr>
          <w:rFonts w:ascii="Times New Roman" w:hAnsi="Times New Roman" w:eastAsia="楷体" w:cs="Times New Roman"/>
          <w:sz w:val="32"/>
          <w:szCs w:val="32"/>
        </w:rPr>
      </w:pPr>
      <w:r>
        <w:rPr>
          <w:rFonts w:ascii="Times New Roman" w:hAnsi="Times New Roman" w:eastAsia="楷体" w:cs="Times New Roman"/>
          <w:sz w:val="32"/>
          <w:szCs w:val="32"/>
        </w:rPr>
        <w:t>（</w:t>
      </w:r>
      <w:r>
        <w:rPr>
          <w:rFonts w:hint="eastAsia" w:eastAsia="楷体_GB2312" w:cs="Times New Roman"/>
          <w:sz w:val="32"/>
          <w:szCs w:val="32"/>
          <w:lang w:eastAsia="zh-CN"/>
        </w:rPr>
        <w:t>离退休工作处处长</w:t>
      </w:r>
      <w:bookmarkStart w:id="0" w:name="_GoBack"/>
      <w:bookmarkEnd w:id="0"/>
      <w:r>
        <w:rPr>
          <w:rFonts w:ascii="Times New Roman" w:hAnsi="Times New Roman" w:eastAsia="楷体_GB2312" w:cs="Times New Roman"/>
          <w:sz w:val="32"/>
          <w:szCs w:val="32"/>
        </w:rPr>
        <w:t xml:space="preserve">  </w:t>
      </w:r>
      <w:r>
        <w:rPr>
          <w:rFonts w:hint="eastAsia" w:eastAsia="楷体_GB2312" w:cs="Times New Roman"/>
          <w:sz w:val="32"/>
          <w:szCs w:val="32"/>
          <w:lang w:eastAsia="zh-CN"/>
        </w:rPr>
        <w:t>李凌</w:t>
      </w:r>
      <w:r>
        <w:rPr>
          <w:rFonts w:ascii="Times New Roman" w:hAnsi="Times New Roman" w:eastAsia="楷体" w:cs="Times New Roman"/>
          <w:sz w:val="32"/>
          <w:szCs w:val="32"/>
        </w:rPr>
        <w:t>）</w:t>
      </w:r>
    </w:p>
    <w:p>
      <w:pPr>
        <w:spacing w:line="540" w:lineRule="exact"/>
        <w:ind w:firstLine="640" w:firstLineChars="200"/>
        <w:jc w:val="center"/>
        <w:rPr>
          <w:rFonts w:ascii="Times New Roman" w:hAnsi="Times New Roman" w:eastAsia="楷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一、述德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一是</w:t>
      </w:r>
      <w:r>
        <w:rPr>
          <w:rFonts w:hint="eastAsia" w:eastAsia="仿宋_GB2312" w:cs="Times New Roman"/>
          <w:color w:val="000000" w:themeColor="text1"/>
          <w:sz w:val="32"/>
          <w:szCs w:val="32"/>
          <w:lang w:eastAsia="zh-CN"/>
          <w14:textFill>
            <w14:solidFill>
              <w14:schemeClr w14:val="tx1"/>
            </w14:solidFill>
          </w14:textFill>
        </w:rPr>
        <w:t>始终把学习作为提高素质、增强本领的“必修课”。集体学习与个人自学相结合，重点学习党的二十大精神，学习</w:t>
      </w:r>
      <w:r>
        <w:rPr>
          <w:rFonts w:hint="eastAsia" w:ascii="仿宋_GB2312" w:eastAsia="仿宋_GB2312"/>
          <w:sz w:val="32"/>
          <w:szCs w:val="32"/>
          <w:lang w:val="en-US" w:eastAsia="zh-CN"/>
        </w:rPr>
        <w:t>习近平总书记关于老干部工作的重要指示批示精神，学习市、两委、学院有关文件会议精神等。通过学习，有效提高了个人政治理论水平，增强了履行职责的使命感和责任感。二是始终把团结作为一种责任来担当。以豁达大度的胸怀容人共事，做到大气做人、坦荡做事；谦虚谨慎、尊重礼让。三是始终把加强党性修养作为头等大事。工作中不断强化服务意识，坚持吃苦在前、享受在后；勤奋工作、廉洁奉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二、述职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Times New Roman" w:eastAsia="仿宋_GB2312" w:cs="Times New Roman"/>
          <w:sz w:val="32"/>
          <w:szCs w:val="30"/>
        </w:rPr>
      </w:pPr>
      <w:r>
        <w:rPr>
          <w:rFonts w:hint="eastAsia" w:ascii="仿宋_GB2312" w:hAnsi="Times New Roman" w:eastAsia="仿宋_GB2312" w:cs="Times New Roman"/>
          <w:sz w:val="32"/>
          <w:szCs w:val="30"/>
        </w:rPr>
        <w:t>（一）年度重点目标任务完成情况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Times New Roman" w:eastAsia="仿宋_GB2312" w:cs="Times New Roman"/>
          <w:sz w:val="32"/>
          <w:szCs w:val="30"/>
        </w:rPr>
        <w:t>1.</w:t>
      </w:r>
      <w:r>
        <w:rPr>
          <w:rFonts w:hint="eastAsia" w:ascii="仿宋_GB2312" w:hAnsi="仿宋_GB2312" w:eastAsia="仿宋_GB2312" w:cs="仿宋_GB2312"/>
          <w:sz w:val="32"/>
          <w:szCs w:val="32"/>
          <w:lang w:val="en-US" w:eastAsia="zh-CN"/>
        </w:rPr>
        <w:t>通过轮训、调研、专题座谈、整改落实等方式，扎实深入开展学习贯彻习近平新时代中国特色社会主义思想主题教育。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hAnsi="new roman" w:eastAsia="仿宋_GB2312"/>
          <w:sz w:val="32"/>
          <w:szCs w:val="32"/>
          <w:lang w:val="en-US" w:eastAsia="zh-CN"/>
        </w:rPr>
        <w:t>一是组织各党支部书记、支委及市管退休干部参加市委老干部局组织的全市离退休干部学习党的二十大精神理论轮训线上专题培训班。通过一周的学习，学院参加学习的40位老同志全部获得结业证书。二是组织召开“话传统、谈复兴、聚力量”专题调研座谈，与会老同志从北京的日新月异变化、发挥余热为首都建设贡献微薄之力、老党员继续党性锤炼、离退休党支部建设等角度讲认识谈体会，表示要在日常生活中以实际行动践行一名共产党员的初心使命。三是开展调研和整改工作，在问卷调查的基础上，与12位分会负责人深度交流，明确了离退休工作处存在的问题，针对存在问题，离退休工作处认真研究整改措施，力求老同志满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new roman" w:eastAsia="仿宋_GB2312"/>
          <w:sz w:val="32"/>
          <w:szCs w:val="32"/>
          <w:lang w:val="en-US" w:eastAsia="zh-CN"/>
        </w:rPr>
        <w:t>2.</w:t>
      </w:r>
      <w:r>
        <w:rPr>
          <w:rFonts w:hint="eastAsia" w:ascii="仿宋_GB2312" w:hAnsi="仿宋_GB2312" w:eastAsia="仿宋_GB2312" w:cs="仿宋_GB2312"/>
          <w:sz w:val="32"/>
          <w:szCs w:val="32"/>
          <w:lang w:val="en-US" w:eastAsia="zh-CN"/>
        </w:rPr>
        <w:t>以开展“六好”离退休干部党支部示范创建工作为抓手，落实好中央和市委关于离退休干部党的建设工作的“两个意见”，进一步提升离退休干部党建工作质量。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new roman" w:eastAsia="仿宋_GB2312"/>
          <w:sz w:val="32"/>
          <w:szCs w:val="32"/>
          <w:lang w:val="en-US" w:eastAsia="zh-CN"/>
        </w:rPr>
      </w:pPr>
      <w:r>
        <w:rPr>
          <w:rFonts w:hint="eastAsia" w:ascii="仿宋_GB2312" w:hAnsi="new roman" w:eastAsia="仿宋_GB2312"/>
          <w:sz w:val="32"/>
          <w:szCs w:val="32"/>
          <w:lang w:val="en-US" w:eastAsia="zh-CN"/>
        </w:rPr>
        <w:t>一是完成党支部换届工作。新当选的支部委员的平均年龄从72岁下降到65岁，相比上一届支委队伍更为年轻，充满活力。二是召开党务工作者工作交流会。参会书记和委员围绕党支部工作经验、党支部工作建设思路、所在党支部党员对学院离退休党委工作的希望三个议题进行讨论发言。工作交流会议为创建北京市“六好”离退休干部示范党支部工作打下良好基础。三是开展“两优一先”评选表彰。被表彰的先进集体、个人的事迹陆续刊登在《枫叶红》上，供广大党员、群众学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new roman" w:eastAsia="仿宋_GB2312"/>
          <w:sz w:val="32"/>
          <w:szCs w:val="32"/>
          <w:lang w:val="en-US" w:eastAsia="zh-CN"/>
        </w:rPr>
      </w:pPr>
      <w:r>
        <w:rPr>
          <w:rFonts w:hint="eastAsia" w:ascii="仿宋_GB2312" w:hAnsi="new roman" w:eastAsia="仿宋_GB2312"/>
          <w:sz w:val="32"/>
          <w:szCs w:val="32"/>
          <w:lang w:val="en-US" w:eastAsia="zh-CN"/>
        </w:rPr>
        <w:t>3.围绕70周年院庆开展系列活动。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new roman" w:eastAsia="仿宋_GB2312"/>
          <w:sz w:val="32"/>
          <w:szCs w:val="32"/>
          <w:lang w:val="en-US" w:eastAsia="zh-CN"/>
        </w:rPr>
      </w:pPr>
      <w:r>
        <w:rPr>
          <w:rFonts w:hint="eastAsia" w:ascii="仿宋_GB2312" w:hAnsi="new roman" w:eastAsia="仿宋_GB2312"/>
          <w:sz w:val="32"/>
          <w:szCs w:val="32"/>
          <w:lang w:val="en-US" w:eastAsia="zh-CN"/>
        </w:rPr>
        <w:t>一是征文。在内部刊物《枫叶红》上开设“纪念北京教育学院成立70周年”专栏，面向全院离退休老同志征文。二是组织观看《师魂》学院宣传片和“我们这十年”--北京教育学院事业发展成就展。三是</w:t>
      </w:r>
      <w:r>
        <w:rPr>
          <w:rFonts w:hint="eastAsia" w:ascii="仿宋_GB2312" w:eastAsia="仿宋_GB2312"/>
          <w:sz w:val="32"/>
          <w:szCs w:val="32"/>
          <w:lang w:val="en-US" w:eastAsia="zh-CN"/>
        </w:rPr>
        <w:t>组织“与学院共庆生”重阳节集体生日活动。四是</w:t>
      </w:r>
      <w:r>
        <w:rPr>
          <w:rFonts w:hint="eastAsia" w:ascii="仿宋_GB2312" w:hAnsi="new roman" w:eastAsia="仿宋_GB2312"/>
          <w:sz w:val="32"/>
          <w:szCs w:val="32"/>
          <w:lang w:val="en-US" w:eastAsia="zh-CN"/>
        </w:rPr>
        <w:t>制定《建院70周年访谈工作方案》，各二级学院积极配合，14位青年教师访谈10位老教师。五是组织“砥砺前行七十年 凝心聚力新征程”老同志书画、摄影、手工作品展。通过这些活动让老同志们感受学院日新月异的发展，抒发老同志们对学院的热爱，焕发教院离退休教职工的新风采。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new roman" w:eastAsia="仿宋_GB2312"/>
          <w:sz w:val="32"/>
          <w:szCs w:val="32"/>
          <w:lang w:val="en-US" w:eastAsia="zh-CN"/>
        </w:rPr>
      </w:pPr>
      <w:r>
        <w:rPr>
          <w:rFonts w:hint="eastAsia" w:ascii="仿宋_GB2312" w:hAnsi="new roman" w:eastAsia="仿宋_GB2312"/>
          <w:sz w:val="32"/>
          <w:szCs w:val="32"/>
          <w:lang w:val="en-US" w:eastAsia="zh-CN"/>
        </w:rPr>
        <w:t>4.落实待遇，细致入微做好服务保障工作。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Times New Roman" w:eastAsia="仿宋_GB2312" w:cs="Times New Roman"/>
          <w:sz w:val="32"/>
          <w:szCs w:val="30"/>
        </w:rPr>
      </w:pPr>
      <w:r>
        <w:rPr>
          <w:rFonts w:hint="eastAsia" w:ascii="仿宋_GB2312" w:eastAsia="仿宋_GB2312"/>
          <w:sz w:val="32"/>
          <w:szCs w:val="32"/>
          <w:lang w:val="en-US" w:eastAsia="zh-CN"/>
        </w:rPr>
        <w:t>一是深入开展离休干部“一对一”精准服务工作。坚持每年两次到家中看望慰问离休老同志。每逢离休干部生日，送上生日蛋糕和祝福。配合市委老干部局、工委老干部处召开百岁离休老人寿诞座谈会送慰问、送祝福。协调做好离休干部居家适老化改造帮扶工作。二是</w:t>
      </w:r>
      <w:r>
        <w:rPr>
          <w:rFonts w:hint="eastAsia" w:ascii="仿宋_GB2312" w:eastAsia="仿宋_GB2312"/>
          <w:sz w:val="32"/>
          <w:szCs w:val="32"/>
        </w:rPr>
        <w:t>关爱离退休老同志</w:t>
      </w:r>
      <w:r>
        <w:rPr>
          <w:rFonts w:hint="eastAsia" w:ascii="仿宋_GB2312" w:eastAsia="仿宋_GB2312"/>
          <w:sz w:val="32"/>
          <w:szCs w:val="32"/>
          <w:lang w:eastAsia="zh-CN"/>
        </w:rPr>
        <w:t>。重要节点开展走访、慰问、探望累计</w:t>
      </w:r>
      <w:r>
        <w:rPr>
          <w:rFonts w:hint="eastAsia" w:ascii="仿宋_GB2312" w:eastAsia="仿宋_GB2312"/>
          <w:sz w:val="32"/>
          <w:szCs w:val="32"/>
          <w:lang w:val="en-US" w:eastAsia="zh-CN"/>
        </w:rPr>
        <w:t>128人次，折合发放慰问（品）金4.45万元；</w:t>
      </w:r>
      <w:r>
        <w:rPr>
          <w:rFonts w:hint="eastAsia" w:ascii="仿宋_GB2312" w:eastAsia="仿宋_GB2312"/>
          <w:sz w:val="32"/>
          <w:szCs w:val="32"/>
        </w:rPr>
        <w:t>为</w:t>
      </w:r>
      <w:r>
        <w:rPr>
          <w:rFonts w:hint="eastAsia" w:ascii="仿宋_GB2312" w:eastAsia="仿宋_GB2312"/>
          <w:sz w:val="32"/>
          <w:szCs w:val="32"/>
          <w:lang w:val="en-US" w:eastAsia="zh-CN"/>
        </w:rPr>
        <w:t>63</w:t>
      </w:r>
      <w:r>
        <w:rPr>
          <w:rFonts w:hint="eastAsia" w:ascii="仿宋_GB2312" w:eastAsia="仿宋_GB2312"/>
          <w:sz w:val="32"/>
          <w:szCs w:val="32"/>
        </w:rPr>
        <w:t>名退休人员</w:t>
      </w:r>
      <w:r>
        <w:rPr>
          <w:rFonts w:hint="eastAsia" w:ascii="仿宋_GB2312" w:eastAsia="仿宋_GB2312"/>
          <w:sz w:val="32"/>
          <w:szCs w:val="32"/>
          <w:lang w:eastAsia="zh-CN"/>
        </w:rPr>
        <w:t>发放</w:t>
      </w:r>
      <w:r>
        <w:rPr>
          <w:rFonts w:hint="eastAsia" w:ascii="仿宋_GB2312" w:eastAsia="仿宋_GB2312"/>
          <w:sz w:val="32"/>
          <w:szCs w:val="32"/>
          <w:lang w:val="en-US" w:eastAsia="zh-CN"/>
        </w:rPr>
        <w:t>8.1万</w:t>
      </w:r>
      <w:r>
        <w:rPr>
          <w:rFonts w:hint="eastAsia" w:ascii="仿宋_GB2312" w:eastAsia="仿宋_GB2312"/>
          <w:sz w:val="32"/>
          <w:szCs w:val="32"/>
        </w:rPr>
        <w:t>元困难补助</w:t>
      </w:r>
      <w:r>
        <w:rPr>
          <w:rFonts w:hint="eastAsia" w:ascii="仿宋_GB2312" w:eastAsia="仿宋_GB2312"/>
          <w:sz w:val="32"/>
          <w:szCs w:val="32"/>
          <w:lang w:eastAsia="zh-CN"/>
        </w:rPr>
        <w:t>和</w:t>
      </w:r>
      <w:r>
        <w:rPr>
          <w:rFonts w:hint="eastAsia" w:ascii="仿宋_GB2312" w:eastAsia="仿宋_GB2312"/>
          <w:sz w:val="32"/>
          <w:szCs w:val="32"/>
          <w:lang w:val="en-US" w:eastAsia="zh-CN"/>
        </w:rPr>
        <w:t>4万元阳光救助金。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（二）制度执行情况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sz w:val="32"/>
          <w:szCs w:val="30"/>
        </w:rPr>
      </w:pPr>
      <w:r>
        <w:rPr>
          <w:rFonts w:hint="eastAsia" w:ascii="仿宋_GB2312" w:hAnsi="new roman" w:eastAsia="仿宋_GB2312"/>
          <w:sz w:val="32"/>
          <w:szCs w:val="32"/>
          <w:lang w:val="en-US" w:eastAsia="zh-CN"/>
        </w:rPr>
        <w:t>认真学习上级及学院相关制度并严格贯彻执行。认真梳理并修改完善相关工作制度，使工作更加规范。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（三）其他工作完成情况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new roman" w:eastAsia="仿宋_GB2312"/>
          <w:sz w:val="32"/>
          <w:szCs w:val="32"/>
          <w:lang w:val="en-US" w:eastAsia="zh-CN"/>
        </w:rPr>
      </w:pPr>
      <w:r>
        <w:rPr>
          <w:rFonts w:hint="eastAsia" w:ascii="仿宋_GB2312" w:hAnsi="new roman" w:eastAsia="仿宋_GB2312"/>
          <w:sz w:val="32"/>
          <w:szCs w:val="32"/>
          <w:lang w:val="en-US" w:eastAsia="zh-CN"/>
        </w:rPr>
        <w:t>1.配合学院党委组织召开领导班子与离退休老同志见面暨情况通报会。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new roman" w:eastAsia="仿宋_GB2312" w:cs="Times New Roman"/>
          <w:color w:val="auto"/>
          <w:kern w:val="2"/>
          <w:sz w:val="32"/>
          <w:szCs w:val="32"/>
          <w:lang w:val="en-US" w:eastAsia="zh-CN" w:bidi="ar-SA"/>
        </w:rPr>
      </w:pPr>
      <w:r>
        <w:rPr>
          <w:rFonts w:hint="eastAsia" w:ascii="仿宋_GB2312" w:hAnsi="new roman" w:eastAsia="仿宋_GB2312"/>
          <w:sz w:val="32"/>
          <w:szCs w:val="32"/>
          <w:lang w:val="en-US" w:eastAsia="zh-CN"/>
        </w:rPr>
        <w:t>2.</w:t>
      </w:r>
      <w:r>
        <w:rPr>
          <w:rFonts w:hint="eastAsia" w:ascii="仿宋_GB2312" w:hAnsi="Times New Roman" w:eastAsia="仿宋_GB2312" w:cs="Times New Roman"/>
          <w:color w:val="auto"/>
          <w:kern w:val="2"/>
          <w:sz w:val="32"/>
          <w:szCs w:val="30"/>
          <w:lang w:val="en-US" w:eastAsia="zh-CN" w:bidi="ar-SA"/>
        </w:rPr>
        <w:t>配合市委老干部局、市委教育工委和学院党委</w:t>
      </w:r>
      <w:r>
        <w:rPr>
          <w:rFonts w:hint="eastAsia" w:ascii="仿宋_GB2312" w:hAnsi="new roman" w:eastAsia="仿宋_GB2312" w:cs="Times New Roman"/>
          <w:color w:val="auto"/>
          <w:kern w:val="2"/>
          <w:sz w:val="32"/>
          <w:szCs w:val="32"/>
          <w:lang w:val="en-US" w:eastAsia="zh-CN" w:bidi="ar-SA"/>
        </w:rPr>
        <w:t>组织开展“学思想 忆初心 共奋进”主题党日活动暨温寒江同志百岁寿诞座谈会。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new roman" w:eastAsia="仿宋_GB2312" w:cs="Times New Roman"/>
          <w:color w:val="auto"/>
          <w:kern w:val="2"/>
          <w:sz w:val="32"/>
          <w:szCs w:val="32"/>
          <w:lang w:val="en-US" w:eastAsia="zh-CN" w:bidi="ar-SA"/>
        </w:rPr>
      </w:pPr>
      <w:r>
        <w:rPr>
          <w:rFonts w:hint="eastAsia" w:ascii="仿宋_GB2312" w:hAnsi="new roman" w:eastAsia="仿宋_GB2312" w:cs="Times New Roman"/>
          <w:color w:val="auto"/>
          <w:kern w:val="2"/>
          <w:sz w:val="32"/>
          <w:szCs w:val="32"/>
          <w:lang w:val="en-US" w:eastAsia="zh-CN" w:bidi="ar-SA"/>
        </w:rPr>
        <w:t>3.完成学院第四次党员代表大会相关工作。按照学院党委统一部署，组织离退休党员完成出席第四次党员代表大会离退休党代表的选举、学院两委委员推荐、两委报告征求意见等工作，服务保障离退休党员代表出席党员代表大会并完成相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new roman" w:eastAsia="仿宋_GB2312" w:cs="Times New Roman"/>
          <w:color w:val="auto"/>
          <w:kern w:val="2"/>
          <w:sz w:val="32"/>
          <w:szCs w:val="32"/>
          <w:lang w:val="en-US" w:eastAsia="zh-CN" w:bidi="ar-SA"/>
        </w:rPr>
      </w:pPr>
      <w:r>
        <w:rPr>
          <w:rFonts w:hint="eastAsia" w:ascii="仿宋_GB2312" w:hAnsi="new roman" w:eastAsia="仿宋_GB2312" w:cs="Times New Roman"/>
          <w:color w:val="auto"/>
          <w:kern w:val="2"/>
          <w:sz w:val="32"/>
          <w:szCs w:val="32"/>
          <w:lang w:val="en-US" w:eastAsia="zh-CN" w:bidi="ar-SA"/>
        </w:rPr>
        <w:t>4.发展党员、党费收缴等相关工作。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三、述廉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sz w:val="32"/>
          <w:szCs w:val="30"/>
          <w:lang w:eastAsia="zh-CN"/>
        </w:rPr>
      </w:pPr>
      <w:r>
        <w:rPr>
          <w:rFonts w:hint="eastAsia" w:ascii="仿宋_GB2312" w:eastAsia="仿宋_GB2312" w:cs="Times New Roman"/>
          <w:sz w:val="32"/>
          <w:szCs w:val="30"/>
          <w:lang w:eastAsia="zh-CN"/>
        </w:rPr>
        <w:t>自觉遵守政治纪律、政治规矩，始终严格要求自己，以身作则，廉洁自律，认真执行党风廉政建设责任制的各项规定，把自己置于党组织的监督之下，在各种考验面前始终保持清醒头脑，注意自重、自省、自警、自励，做到清清白白做人。工作、生活中，始终严格按照共产党员和领导干部的标准严格约束自己的言行，筑牢拒腐防变防线，增强抵御各种腐朽思想侵蚀的免疫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四、存在的问题和不足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第一，针对离退休特点组织开展有特色党建活动的办法不多、创新性不够。离退休党委党员数量多、年龄偏大，退休后生活方式和兴趣爱好差异很大，</w:t>
      </w:r>
      <w:r>
        <w:rPr>
          <w:rFonts w:hint="eastAsia" w:ascii="仿宋_GB2312" w:eastAsia="仿宋_GB2312"/>
          <w:sz w:val="32"/>
          <w:szCs w:val="32"/>
          <w:lang w:val="en-US" w:eastAsia="zh-CN"/>
        </w:rPr>
        <w:t>居住分散、思想状况不同</w:t>
      </w:r>
      <w:r>
        <w:rPr>
          <w:rFonts w:hint="eastAsia" w:ascii="仿宋_GB2312" w:hAnsi="仿宋_GB2312" w:eastAsia="仿宋_GB2312" w:cs="仿宋_GB2312"/>
          <w:sz w:val="32"/>
          <w:szCs w:val="32"/>
          <w:lang w:val="en-US" w:eastAsia="zh-CN"/>
        </w:rPr>
        <w:t>，有的还行动不便卧病在床，开展党员教育管理、集中培训学习、组织党建活动较为困难。这些一直是困扰离退休党建工作及思政教育的难点，对此，创新的工作思路还不多，灵活有效的工作方法有待进一步研究探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目前党建工作与服务规范化精准化信息化要求还有差距。落实“政治上从严、形式上灵活多样，使管理融入服务关爱，让教育体现人文关怀”的力度还不够强，党建工作规范化精准化信息化水平有待提升。如何以规范化引领精准化，以精准化提升基层党建工作质量，把信息化运用作为助推基层党建精准管理，提质增效，使党支部学在网上，党员连在线上的举措亟待进一步研究探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第三，群众工作能力和水平尚显不足。面对不同老同志，工作方法尚显简单，处理复杂问题，有时还抓不住重点，掌握不住好的时机。总之，还未真正做到深入群众。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楷体" w:cs="Times New Roman"/>
          <w:sz w:val="32"/>
          <w:szCs w:val="32"/>
        </w:rPr>
      </w:pPr>
      <w:r>
        <w:rPr>
          <w:rFonts w:ascii="Times New Roman" w:hAnsi="Times New Roman" w:eastAsia="黑体" w:cs="Times New Roman"/>
          <w:sz w:val="32"/>
          <w:szCs w:val="32"/>
        </w:rPr>
        <w:t>五、</w:t>
      </w:r>
      <w:r>
        <w:rPr>
          <w:rFonts w:hint="eastAsia"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Times New Roman" w:hAnsi="Times New Roman" w:eastAsia="黑体" w:cs="Times New Roman"/>
          <w:sz w:val="32"/>
          <w:szCs w:val="32"/>
        </w:rPr>
        <w:t>年</w:t>
      </w:r>
      <w:r>
        <w:rPr>
          <w:rFonts w:ascii="Times New Roman" w:hAnsi="Times New Roman" w:eastAsia="黑体" w:cs="Times New Roman"/>
          <w:sz w:val="32"/>
          <w:szCs w:val="32"/>
        </w:rPr>
        <w:t>工作主要思路</w:t>
      </w:r>
      <w:r>
        <w:rPr>
          <w:rFonts w:hint="eastAsia" w:ascii="Times New Roman" w:hAnsi="Times New Roman" w:eastAsia="黑体" w:cs="Times New Roman"/>
          <w:sz w:val="32"/>
          <w:szCs w:val="32"/>
        </w:rPr>
        <w:t>和重点目标任务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1.持续深入学习习近平新时代中国特色社会主义思想，突出思想政治引领，不断提高政治站位。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eastAsia="仿宋_GB2312"/>
          <w:sz w:val="32"/>
          <w:szCs w:val="32"/>
          <w:lang w:val="en-US" w:eastAsia="zh-CN"/>
        </w:rPr>
        <w:t>2.以</w:t>
      </w:r>
      <w:r>
        <w:rPr>
          <w:rFonts w:hint="eastAsia" w:ascii="仿宋_GB2312" w:hAnsi="仿宋_GB2312" w:eastAsia="仿宋_GB2312" w:cs="仿宋_GB2312"/>
          <w:sz w:val="32"/>
          <w:szCs w:val="32"/>
          <w:lang w:val="en-US" w:eastAsia="zh-CN"/>
        </w:rPr>
        <w:t>开展“六好”离退休干部党支部示范创建工作为抓手，切实加强离退休干部党支部建设。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3.主动融入积极应对人口老龄化国家战略，与学院有关部门、街道社区相关单位等形成工作合力，共同做好为老服务工作。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4.活跃丰富老同志文化生活，开展各项有益身心健康的活动。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new roman">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ascii="Times New Roman" w:hAnsi="Times New Roman" w:eastAsia="仿宋_GB2312" w:cs="Times New Roman"/>
        <w:sz w:val="18"/>
      </w:rPr>
    </w:pPr>
    <w:r>
      <w:rPr>
        <w:rFonts w:ascii="Times New Roman" w:hAnsi="Times New Roman" w:eastAsia="仿宋_GB2312" w:cs="Times New Roman"/>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127635</wp:posOffset>
              </wp:positionV>
              <wp:extent cx="800735" cy="355600"/>
              <wp:effectExtent l="0" t="0" r="0" b="0"/>
              <wp:wrapNone/>
              <wp:docPr id="4" name="Text Box 1"/>
              <wp:cNvGraphicFramePr/>
              <a:graphic xmlns:a="http://schemas.openxmlformats.org/drawingml/2006/main">
                <a:graphicData uri="http://schemas.microsoft.com/office/word/2010/wordprocessingShape">
                  <wps:wsp>
                    <wps:cNvSpPr txBox="1">
                      <a:spLocks noChangeArrowheads="1"/>
                    </wps:cNvSpPr>
                    <wps:spPr bwMode="auto">
                      <a:xfrm>
                        <a:off x="0" y="0"/>
                        <a:ext cx="800735" cy="355600"/>
                      </a:xfrm>
                      <a:prstGeom prst="rect">
                        <a:avLst/>
                      </a:prstGeom>
                      <a:noFill/>
                      <a:ln>
                        <a:noFill/>
                      </a:ln>
                    </wps:spPr>
                    <wps:txbx>
                      <w:txbxContent>
                        <w:p>
                          <w:pPr>
                            <w:snapToGrid w:val="0"/>
                            <w:spacing w:line="560" w:lineRule="exact"/>
                            <w:ind w:firstLine="560" w:firstLineChars="200"/>
                            <w:jc w:val="left"/>
                            <w:rPr>
                              <w:rStyle w:val="4"/>
                              <w:rFonts w:hint="default" w:ascii="Times New Roman" w:hAnsi="Times New Roman" w:eastAsia="仿宋_GB2312" w:cs="Times New Roman"/>
                              <w:sz w:val="28"/>
                              <w:szCs w:val="28"/>
                            </w:rPr>
                          </w:pPr>
                          <w:r>
                            <w:rPr>
                              <w:rStyle w:val="4"/>
                              <w:rFonts w:hint="default" w:ascii="Times New Roman" w:hAnsi="Times New Roman" w:cs="Times New Roman"/>
                              <w:sz w:val="28"/>
                              <w:szCs w:val="28"/>
                            </w:rPr>
                            <w:fldChar w:fldCharType="begin"/>
                          </w:r>
                          <w:r>
                            <w:rPr>
                              <w:rStyle w:val="4"/>
                              <w:rFonts w:hint="default" w:ascii="Times New Roman" w:hAnsi="Times New Roman" w:cs="Times New Roman"/>
                              <w:sz w:val="28"/>
                              <w:szCs w:val="28"/>
                            </w:rPr>
                            <w:instrText xml:space="preserve">PAGE  </w:instrText>
                          </w:r>
                          <w:r>
                            <w:rPr>
                              <w:rStyle w:val="4"/>
                              <w:rFonts w:hint="default" w:ascii="Times New Roman" w:hAnsi="Times New Roman" w:cs="Times New Roman"/>
                              <w:sz w:val="28"/>
                              <w:szCs w:val="28"/>
                            </w:rPr>
                            <w:fldChar w:fldCharType="separate"/>
                          </w:r>
                          <w:r>
                            <w:rPr>
                              <w:rStyle w:val="4"/>
                              <w:rFonts w:hint="default" w:ascii="Times New Roman" w:hAnsi="Times New Roman" w:cs="Times New Roman"/>
                              <w:sz w:val="28"/>
                              <w:szCs w:val="28"/>
                            </w:rPr>
                            <w:t>- 13 -</w:t>
                          </w:r>
                          <w:r>
                            <w:rPr>
                              <w:rStyle w:val="4"/>
                              <w:rFonts w:hint="default" w:ascii="Times New Roman" w:hAnsi="Times New Roman" w:cs="Times New Roman"/>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10.05pt;height:28pt;width:63.05pt;mso-position-horizontal:outside;mso-position-horizontal-relative:margin;mso-wrap-style:none;z-index:251659264;mso-width-relative:page;mso-height-relative:page;" filled="f" stroked="f" coordsize="21600,21600" o:gfxdata="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nOFCNAAAAAGAQAADwAAAAAAAAABACAAAAAiAAAAZHJzL2Rvd25yZXYueG1sUEsBAhQA&#10;FAAAAAgAh07iQMWm6/v6AQAAAQQAAA4AAAAAAAAAAQAgAAAAHwEAAGRycy9lMm9Eb2MueG1sUEsF&#10;BgAAAAAGAAYAWQEAAIsFAAAAAA==&#10;">
              <v:fill on="f" focussize="0,0"/>
              <v:stroke on="f"/>
              <v:imagedata o:title=""/>
              <o:lock v:ext="edit" aspectratio="f"/>
              <v:textbox inset="0mm,0mm,0mm,0mm" style="mso-fit-shape-to-text:t;">
                <w:txbxContent>
                  <w:p>
                    <w:pPr>
                      <w:snapToGrid w:val="0"/>
                      <w:spacing w:line="560" w:lineRule="exact"/>
                      <w:ind w:firstLine="560" w:firstLineChars="200"/>
                      <w:jc w:val="left"/>
                      <w:rPr>
                        <w:rStyle w:val="4"/>
                        <w:rFonts w:hint="default" w:ascii="Times New Roman" w:hAnsi="Times New Roman" w:eastAsia="仿宋_GB2312" w:cs="Times New Roman"/>
                        <w:sz w:val="28"/>
                        <w:szCs w:val="28"/>
                      </w:rPr>
                    </w:pPr>
                    <w:r>
                      <w:rPr>
                        <w:rStyle w:val="4"/>
                        <w:rFonts w:hint="default" w:ascii="Times New Roman" w:hAnsi="Times New Roman" w:cs="Times New Roman"/>
                        <w:sz w:val="28"/>
                        <w:szCs w:val="28"/>
                      </w:rPr>
                      <w:fldChar w:fldCharType="begin"/>
                    </w:r>
                    <w:r>
                      <w:rPr>
                        <w:rStyle w:val="4"/>
                        <w:rFonts w:hint="default" w:ascii="Times New Roman" w:hAnsi="Times New Roman" w:cs="Times New Roman"/>
                        <w:sz w:val="28"/>
                        <w:szCs w:val="28"/>
                      </w:rPr>
                      <w:instrText xml:space="preserve">PAGE  </w:instrText>
                    </w:r>
                    <w:r>
                      <w:rPr>
                        <w:rStyle w:val="4"/>
                        <w:rFonts w:hint="default" w:ascii="Times New Roman" w:hAnsi="Times New Roman" w:cs="Times New Roman"/>
                        <w:sz w:val="28"/>
                        <w:szCs w:val="28"/>
                      </w:rPr>
                      <w:fldChar w:fldCharType="separate"/>
                    </w:r>
                    <w:r>
                      <w:rPr>
                        <w:rStyle w:val="4"/>
                        <w:rFonts w:hint="default" w:ascii="Times New Roman" w:hAnsi="Times New Roman" w:cs="Times New Roman"/>
                        <w:sz w:val="28"/>
                        <w:szCs w:val="28"/>
                      </w:rPr>
                      <w:t>- 13 -</w:t>
                    </w:r>
                    <w:r>
                      <w:rPr>
                        <w:rStyle w:val="4"/>
                        <w:rFonts w:hint="default"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ascii="Times New Roman" w:hAnsi="Times New Roman" w:eastAsia="仿宋_GB2312" w:cs="Times New Roman"/>
        <w:sz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28C64087"/>
    <w:rsid w:val="0E6766B7"/>
    <w:rsid w:val="22714212"/>
    <w:rsid w:val="23431AEA"/>
    <w:rsid w:val="28C64087"/>
    <w:rsid w:val="319E66A5"/>
    <w:rsid w:val="378123A9"/>
    <w:rsid w:val="3F1B1335"/>
    <w:rsid w:val="44B85878"/>
    <w:rsid w:val="47887784"/>
    <w:rsid w:val="542033BF"/>
    <w:rsid w:val="68580655"/>
    <w:rsid w:val="6DA73C10"/>
    <w:rsid w:val="714707D1"/>
    <w:rsid w:val="7B707D38"/>
    <w:rsid w:val="7CA85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2023-12-19T03:01:00Z</dcterms:created>
  <dc:creator>WPS_1622698021</dc:creator>
  <cp:lastModifiedBy>黄汉周</cp:lastModifiedBy>
  <dcterms:modified xsi:type="dcterms:W3CDTF">2024-01-16T05:59:38Z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9B8D078A9C62479A8B4535EF48F3A799_13</vt:lpwstr>
  </property>
</Properties>
</file>