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eastAsia="方正小标宋简体"/>
          <w:sz w:val="44"/>
          <w:szCs w:val="44"/>
        </w:rPr>
      </w:pPr>
      <w:r>
        <w:rPr>
          <w:rFonts w:hint="eastAsia" w:eastAsia="方正小标宋简体"/>
          <w:sz w:val="44"/>
          <w:szCs w:val="44"/>
        </w:rPr>
        <w:t>人文与外语教育学院</w:t>
      </w:r>
    </w:p>
    <w:p>
      <w:pPr>
        <w:spacing w:line="520" w:lineRule="exact"/>
        <w:jc w:val="center"/>
        <w:rPr>
          <w:rFonts w:eastAsia="方正小标宋简体"/>
          <w:sz w:val="44"/>
          <w:szCs w:val="44"/>
        </w:rPr>
      </w:pPr>
      <w:bookmarkStart w:id="0" w:name="_GoBack"/>
      <w:bookmarkEnd w:id="0"/>
      <w:r>
        <w:rPr>
          <w:rFonts w:eastAsia="方正小标宋简体"/>
          <w:sz w:val="44"/>
          <w:szCs w:val="44"/>
        </w:rPr>
        <w:t>202</w:t>
      </w:r>
      <w:r>
        <w:rPr>
          <w:rFonts w:hint="eastAsia" w:eastAsia="方正小标宋简体"/>
          <w:sz w:val="44"/>
          <w:szCs w:val="44"/>
        </w:rPr>
        <w:t>3</w:t>
      </w:r>
      <w:r>
        <w:rPr>
          <w:rFonts w:eastAsia="方正小标宋简体"/>
          <w:sz w:val="44"/>
          <w:szCs w:val="44"/>
        </w:rPr>
        <w:t>年度工作总结</w:t>
      </w:r>
    </w:p>
    <w:p>
      <w:pPr>
        <w:spacing w:line="520" w:lineRule="exact"/>
        <w:ind w:firstLine="640" w:firstLineChars="200"/>
        <w:jc w:val="center"/>
        <w:rPr>
          <w:rFonts w:eastAsia="楷体"/>
          <w:sz w:val="32"/>
          <w:szCs w:val="32"/>
        </w:rPr>
      </w:pPr>
    </w:p>
    <w:p>
      <w:pPr>
        <w:spacing w:line="520" w:lineRule="exact"/>
        <w:ind w:firstLine="640" w:firstLineChars="200"/>
        <w:jc w:val="left"/>
        <w:rPr>
          <w:rFonts w:eastAsia="仿宋_GB2312"/>
          <w:sz w:val="32"/>
          <w:szCs w:val="32"/>
        </w:rPr>
      </w:pPr>
      <w:r>
        <w:rPr>
          <w:rFonts w:hint="eastAsia" w:eastAsia="仿宋_GB2312"/>
          <w:sz w:val="32"/>
          <w:szCs w:val="32"/>
        </w:rPr>
        <w:t>2023年在学院党委领导下，人文与外语教育学院围绕学院党政工作要点和部门实际，深入学习贯彻习近平新时代中国特色社会主义思想和党的二十大精神，认真贯彻落实学院党委决策部署和学院第四次党员代表大会精神，扎实开展主题教育，严格落实全面从严治党主体责任，各项工作平稳有序较好完成。现将全年工作总结如下：</w:t>
      </w:r>
    </w:p>
    <w:p>
      <w:pPr>
        <w:spacing w:line="520" w:lineRule="exact"/>
        <w:ind w:firstLine="640" w:firstLineChars="200"/>
        <w:jc w:val="left"/>
        <w:rPr>
          <w:rFonts w:eastAsia="黑体"/>
          <w:sz w:val="32"/>
          <w:szCs w:val="32"/>
        </w:rPr>
      </w:pPr>
      <w:r>
        <w:rPr>
          <w:rFonts w:eastAsia="黑体"/>
          <w:sz w:val="32"/>
          <w:szCs w:val="32"/>
        </w:rPr>
        <w:t>一、</w:t>
      </w:r>
      <w:r>
        <w:rPr>
          <w:rFonts w:hint="eastAsia" w:eastAsia="黑体"/>
          <w:sz w:val="32"/>
          <w:szCs w:val="32"/>
        </w:rPr>
        <w:t>党建工作</w:t>
      </w:r>
    </w:p>
    <w:p>
      <w:pPr>
        <w:spacing w:line="520" w:lineRule="exact"/>
        <w:ind w:firstLine="643" w:firstLineChars="200"/>
        <w:jc w:val="left"/>
        <w:rPr>
          <w:rFonts w:eastAsia="仿宋_GB2312"/>
          <w:sz w:val="32"/>
          <w:szCs w:val="32"/>
        </w:rPr>
      </w:pPr>
      <w:r>
        <w:rPr>
          <w:rFonts w:hint="eastAsia" w:eastAsia="仿宋_GB2312"/>
          <w:b/>
          <w:bCs/>
          <w:sz w:val="32"/>
          <w:szCs w:val="32"/>
        </w:rPr>
        <w:t>1.严格落实一岗双责，全面落实党委从严治党部署要求。</w:t>
      </w:r>
      <w:r>
        <w:rPr>
          <w:rFonts w:hint="eastAsia" w:eastAsia="仿宋_GB2312"/>
          <w:sz w:val="32"/>
          <w:szCs w:val="32"/>
        </w:rPr>
        <w:t>召开2023年全面从严治党工作会暨警示教育大会</w:t>
      </w:r>
      <w:r>
        <w:rPr>
          <w:rFonts w:hint="eastAsia" w:eastAsia="仿宋_GB2312"/>
          <w:sz w:val="32"/>
          <w:szCs w:val="32"/>
          <w:lang w:eastAsia="zh-CN"/>
        </w:rPr>
        <w:t>、</w:t>
      </w:r>
      <w:r>
        <w:rPr>
          <w:rFonts w:hint="eastAsia" w:eastAsia="仿宋_GB2312"/>
          <w:sz w:val="32"/>
          <w:szCs w:val="32"/>
        </w:rPr>
        <w:t>全面从严治党工作推进会，坚持将管党治党工作与业务工作同部署、同落实、同检查，形成责任明确、齐抓共管、推动有力的工作格局。制定2023年落实全面从严治党主体责任年度任务安排21个方面任务49项工作举措。严格执行党总支委员会、党政联席会议事规则和会议制度，全年共召开党总支委员会12次，研究议题13个；召开党政联席会7次，研究决策事项15个。较高质量完成全年党建各项工作。</w:t>
      </w:r>
    </w:p>
    <w:p>
      <w:pPr>
        <w:spacing w:line="520" w:lineRule="exact"/>
        <w:jc w:val="left"/>
        <w:rPr>
          <w:rFonts w:eastAsia="仿宋_GB2312"/>
          <w:sz w:val="32"/>
          <w:szCs w:val="32"/>
        </w:rPr>
      </w:pPr>
      <w:r>
        <w:rPr>
          <w:rFonts w:hint="eastAsia" w:eastAsia="仿宋_GB2312"/>
          <w:sz w:val="32"/>
          <w:szCs w:val="32"/>
        </w:rPr>
        <w:t xml:space="preserve">   </w:t>
      </w:r>
      <w:r>
        <w:rPr>
          <w:rFonts w:hint="eastAsia" w:eastAsia="仿宋_GB2312"/>
          <w:b/>
          <w:bCs/>
          <w:sz w:val="32"/>
          <w:szCs w:val="32"/>
        </w:rPr>
        <w:t xml:space="preserve"> 2.扎实开展主题教育学习调研及整改工作，促进教育教学质量提升。</w:t>
      </w:r>
      <w:r>
        <w:rPr>
          <w:rFonts w:hint="eastAsia" w:eastAsia="仿宋_GB2312"/>
          <w:sz w:val="32"/>
          <w:szCs w:val="32"/>
        </w:rPr>
        <w:t>深入开展学习贯彻习近平新时代中国特色社会主义思想主题教育，落实二级理论中心组学习计划，研读4种必读材料和4种选读材料，共组织学习12次，集中研讨4次。开展党组织书记讲党课暨主题教育学习交流，跟进学习近平总书记最新重要讲话精神和文章，各党支部认真学习研讨“千万工程”经验案例。党总支牵头在李大钊故居开展联合主题党日活动。认真开展“优秀青年教师项目培训现状及改进策略”主题教育调研。主题教育中，党总支共组织4次专题研讨，3次主题党日活动，6名同志讲了专题党课，坚持每周组织1次党员集中学习研讨，基于优青培训项目完成1次专题调研，推进主题教育走深走实。高度重视巡察整改，34项整改任务已经完成32项。</w:t>
      </w:r>
    </w:p>
    <w:p>
      <w:pPr>
        <w:spacing w:line="520" w:lineRule="exact"/>
        <w:ind w:firstLine="643" w:firstLineChars="200"/>
        <w:jc w:val="left"/>
        <w:rPr>
          <w:rFonts w:eastAsia="仿宋_GB2312"/>
          <w:sz w:val="32"/>
          <w:szCs w:val="32"/>
        </w:rPr>
      </w:pPr>
      <w:r>
        <w:rPr>
          <w:rFonts w:hint="eastAsia" w:eastAsia="仿宋_GB2312"/>
          <w:b/>
          <w:bCs/>
          <w:sz w:val="32"/>
          <w:szCs w:val="32"/>
        </w:rPr>
        <w:t>3.组织开展“五个一”活动，深入推进党风廉政建设和反腐败工作。</w:t>
      </w:r>
      <w:r>
        <w:rPr>
          <w:rFonts w:hint="eastAsia" w:eastAsia="仿宋_GB2312"/>
          <w:sz w:val="32"/>
          <w:szCs w:val="32"/>
        </w:rPr>
        <w:t>开展 2023年党风廉政建设与反腐败宣传教育月系列活动，即一次动员宣讲大会、一次专题报告、一次主题党日活动、一次警示教育活动和一次党纪党规答题。邀请学院纪委书记、监察专员张润杰做《纪律：立德树人的生命线 把党纪院规内化为高尚师德》专题报告，受到教职工广泛好评，三位总支委员结合分管工作，以微党课方式做了党纪院规、师德、意识形态工作方面的导学交流。</w:t>
      </w:r>
    </w:p>
    <w:p>
      <w:pPr>
        <w:spacing w:line="520" w:lineRule="exact"/>
        <w:ind w:firstLine="643" w:firstLineChars="200"/>
        <w:jc w:val="left"/>
        <w:rPr>
          <w:rFonts w:eastAsia="仿宋_GB2312"/>
          <w:sz w:val="32"/>
          <w:szCs w:val="32"/>
        </w:rPr>
      </w:pPr>
      <w:r>
        <w:rPr>
          <w:rFonts w:hint="eastAsia" w:eastAsia="仿宋_GB2312"/>
          <w:b/>
          <w:bCs/>
          <w:sz w:val="32"/>
          <w:szCs w:val="32"/>
        </w:rPr>
        <w:t>4.强化意识形态管理，落实意识形态工作责任制。</w:t>
      </w:r>
      <w:r>
        <w:rPr>
          <w:rFonts w:hint="eastAsia" w:eastAsia="仿宋_GB2312"/>
          <w:sz w:val="32"/>
          <w:szCs w:val="32"/>
        </w:rPr>
        <w:t>加强教职工思想动态调研，每学期对教职工思想状况进行摸排调研形成思想动态报告。用好《党支部教职工意识形态工作研判自查表》，每季度以党支部为单位进行自查。结合理论与相关案例，党总支宣传委员专题宣讲意识形态安全教育，全年共报备论坛讲座8次。</w:t>
      </w:r>
    </w:p>
    <w:p>
      <w:pPr>
        <w:spacing w:line="520" w:lineRule="exact"/>
        <w:ind w:firstLine="643" w:firstLineChars="200"/>
        <w:jc w:val="left"/>
        <w:rPr>
          <w:rFonts w:eastAsia="仿宋_GB2312"/>
          <w:sz w:val="32"/>
          <w:szCs w:val="32"/>
        </w:rPr>
      </w:pPr>
      <w:r>
        <w:rPr>
          <w:rFonts w:hint="eastAsia" w:eastAsia="仿宋_GB2312"/>
          <w:b/>
          <w:bCs/>
          <w:sz w:val="32"/>
          <w:szCs w:val="32"/>
        </w:rPr>
        <w:t>5.着力推进课程思政建设，强化教师立德树人的使命担当。</w:t>
      </w:r>
      <w:r>
        <w:rPr>
          <w:rFonts w:hint="eastAsia" w:eastAsia="仿宋_GB2312"/>
          <w:sz w:val="32"/>
          <w:szCs w:val="32"/>
        </w:rPr>
        <w:t>将课程思政与教师培训相结合，提升价值引领。在全院持续推进课程思政建设，已形成38门课程（继教课35门，学历课程3门），相关论文15篇，论著1本，课题5个。</w:t>
      </w:r>
    </w:p>
    <w:p>
      <w:pPr>
        <w:spacing w:line="520" w:lineRule="exact"/>
        <w:ind w:firstLine="643" w:firstLineChars="200"/>
        <w:jc w:val="left"/>
        <w:rPr>
          <w:rFonts w:eastAsia="仿宋_GB2312"/>
          <w:sz w:val="32"/>
          <w:szCs w:val="32"/>
        </w:rPr>
      </w:pPr>
      <w:r>
        <w:rPr>
          <w:rFonts w:hint="eastAsia" w:eastAsia="仿宋_GB2312"/>
          <w:b/>
          <w:bCs/>
          <w:sz w:val="32"/>
          <w:szCs w:val="32"/>
        </w:rPr>
        <w:t>6.继续推进“平安校园”提升工程，加强安全稳定教育及日常行政管理。</w:t>
      </w:r>
      <w:r>
        <w:rPr>
          <w:rFonts w:hint="eastAsia" w:eastAsia="仿宋_GB2312"/>
          <w:sz w:val="32"/>
          <w:szCs w:val="32"/>
        </w:rPr>
        <w:t>积极做好安全管理及常态化安全检查，设计制作安全提示标识，开展日常秩序维护、隐患问题排查整治等工作。统筹抓好重要敏感节点和各类群体安全稳定工作，及时传达学院安全工作会议精神，把各项安全工作做细、做实。开展校园宗教政策知识与实务学习，进行民族宗教工作摸排并形成情况报告。注重做好统战工作。</w:t>
      </w:r>
    </w:p>
    <w:p>
      <w:pPr>
        <w:spacing w:line="520" w:lineRule="exact"/>
        <w:ind w:firstLine="640" w:firstLineChars="200"/>
        <w:jc w:val="left"/>
        <w:rPr>
          <w:rFonts w:eastAsia="黑体"/>
          <w:sz w:val="32"/>
          <w:szCs w:val="32"/>
        </w:rPr>
      </w:pPr>
      <w:r>
        <w:rPr>
          <w:rFonts w:eastAsia="黑体"/>
          <w:sz w:val="32"/>
          <w:szCs w:val="32"/>
        </w:rPr>
        <w:t>二、工作实绩</w:t>
      </w:r>
    </w:p>
    <w:p>
      <w:pPr>
        <w:spacing w:line="520" w:lineRule="exact"/>
        <w:ind w:firstLine="643" w:firstLineChars="200"/>
        <w:jc w:val="left"/>
        <w:rPr>
          <w:rFonts w:ascii="仿宋_GB2312" w:eastAsia="仿宋_GB2312"/>
          <w:b/>
          <w:bCs/>
          <w:sz w:val="32"/>
          <w:szCs w:val="30"/>
        </w:rPr>
      </w:pPr>
      <w:r>
        <w:rPr>
          <w:rFonts w:hint="eastAsia" w:ascii="仿宋_GB2312" w:eastAsia="仿宋_GB2312"/>
          <w:b/>
          <w:bCs/>
          <w:sz w:val="32"/>
          <w:szCs w:val="30"/>
        </w:rPr>
        <w:t>（一）年度重点任务完成情况</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1.做好培训主业</w:t>
      </w:r>
      <w:r>
        <w:rPr>
          <w:rFonts w:hint="eastAsia" w:ascii="仿宋_GB2312" w:eastAsia="仿宋_GB2312"/>
          <w:b/>
          <w:bCs/>
          <w:sz w:val="32"/>
          <w:szCs w:val="30"/>
          <w:lang w:eastAsia="zh-CN"/>
        </w:rPr>
        <w:t>，</w:t>
      </w:r>
      <w:r>
        <w:rPr>
          <w:rFonts w:hint="eastAsia" w:ascii="仿宋_GB2312" w:eastAsia="仿宋_GB2312"/>
          <w:b/>
          <w:bCs/>
          <w:sz w:val="32"/>
          <w:szCs w:val="30"/>
        </w:rPr>
        <w:t>贯彻落实学院第四次党代会精神和“十四五”规划。</w:t>
      </w:r>
      <w:r>
        <w:rPr>
          <w:rFonts w:hint="eastAsia" w:ascii="仿宋_GB2312" w:eastAsia="仿宋_GB2312"/>
          <w:sz w:val="32"/>
          <w:szCs w:val="30"/>
        </w:rPr>
        <w:t>2023年共开展各类继续教育培训项目79个，共培训学员1956人；学历教育7个班，共有学员138人。以教学督导制度推动质量监控常态化，全年开展教学督导70次。本年度结业项目4</w:t>
      </w:r>
      <w:r>
        <w:rPr>
          <w:rFonts w:ascii="仿宋_GB2312" w:eastAsia="仿宋_GB2312"/>
          <w:sz w:val="32"/>
          <w:szCs w:val="30"/>
        </w:rPr>
        <w:t>2</w:t>
      </w:r>
      <w:r>
        <w:rPr>
          <w:rFonts w:hint="eastAsia" w:ascii="仿宋_GB2312" w:eastAsia="仿宋_GB2312"/>
          <w:sz w:val="32"/>
          <w:szCs w:val="30"/>
        </w:rPr>
        <w:t>个，根据第三方对其中3</w:t>
      </w:r>
      <w:r>
        <w:rPr>
          <w:rFonts w:ascii="仿宋_GB2312" w:eastAsia="仿宋_GB2312"/>
          <w:sz w:val="32"/>
          <w:szCs w:val="30"/>
        </w:rPr>
        <w:t>5</w:t>
      </w:r>
      <w:r>
        <w:rPr>
          <w:rFonts w:hint="eastAsia" w:ascii="仿宋_GB2312" w:eastAsia="仿宋_GB2312"/>
          <w:sz w:val="32"/>
          <w:szCs w:val="30"/>
        </w:rPr>
        <w:t>个项目的评价反馈，非常满意率9</w:t>
      </w:r>
      <w:r>
        <w:rPr>
          <w:rFonts w:ascii="仿宋_GB2312" w:eastAsia="仿宋_GB2312"/>
          <w:sz w:val="32"/>
          <w:szCs w:val="30"/>
        </w:rPr>
        <w:t>0%</w:t>
      </w:r>
      <w:r>
        <w:rPr>
          <w:rFonts w:hint="eastAsia" w:ascii="仿宋_GB2312" w:eastAsia="仿宋_GB2312"/>
          <w:sz w:val="32"/>
          <w:szCs w:val="30"/>
        </w:rPr>
        <w:t>以上的项目</w:t>
      </w:r>
      <w:r>
        <w:rPr>
          <w:rFonts w:ascii="仿宋_GB2312" w:eastAsia="仿宋_GB2312"/>
          <w:sz w:val="32"/>
          <w:szCs w:val="30"/>
        </w:rPr>
        <w:t>25</w:t>
      </w:r>
      <w:r>
        <w:rPr>
          <w:rFonts w:hint="eastAsia" w:ascii="仿宋_GB2312" w:eastAsia="仿宋_GB2312"/>
          <w:sz w:val="32"/>
          <w:szCs w:val="30"/>
        </w:rPr>
        <w:t>个，为高质量培训奠定基础。</w:t>
      </w:r>
      <w:r>
        <w:rPr>
          <w:rFonts w:ascii="仿宋_GB2312" w:eastAsia="仿宋_GB2312"/>
          <w:sz w:val="32"/>
          <w:szCs w:val="30"/>
        </w:rPr>
        <w:t xml:space="preserve"> </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2.加强有组织科研，实证研究有所突破。</w:t>
      </w:r>
      <w:r>
        <w:rPr>
          <w:rFonts w:hint="eastAsia" w:ascii="仿宋_GB2312" w:eastAsia="仿宋_GB2312"/>
          <w:sz w:val="32"/>
          <w:szCs w:val="30"/>
        </w:rPr>
        <w:t>扎实推进3个学科创新平台和8个非实体中心研究工作带动学科建设，把研究成果转化为CSSCI期刊文章及培训课程。加强一师一优课建设，5门培训精品课程通过教务处评审，组织8本教材著作撰写，其中6本已签</w:t>
      </w:r>
      <w:r>
        <w:rPr>
          <w:rFonts w:hint="eastAsia" w:ascii="仿宋_GB2312" w:eastAsia="仿宋_GB2312"/>
          <w:sz w:val="32"/>
          <w:szCs w:val="30"/>
          <w:lang w:eastAsia="zh-CN"/>
        </w:rPr>
        <w:t>订</w:t>
      </w:r>
      <w:r>
        <w:rPr>
          <w:rFonts w:hint="eastAsia" w:ascii="仿宋_GB2312" w:eastAsia="仿宋_GB2312"/>
          <w:sz w:val="32"/>
          <w:szCs w:val="30"/>
        </w:rPr>
        <w:t>出版协议。共发表期刊论文84篇，核心期刊27篇（包括C刊6篇、C扩1篇 ），第一作者（含独立发表、通讯作者）58篇。此外，人大复印报刊资料全文转载11篇，发表报刊论文12篇。出版著作共16部，</w:t>
      </w:r>
      <w:r>
        <w:rPr>
          <w:rFonts w:hint="eastAsia" w:ascii="仿宋_GB2312" w:eastAsia="仿宋_GB2312"/>
          <w:sz w:val="32"/>
          <w:szCs w:val="30"/>
          <w:lang w:eastAsia="zh-CN"/>
        </w:rPr>
        <w:t>其</w:t>
      </w:r>
      <w:r>
        <w:rPr>
          <w:rFonts w:hint="eastAsia" w:ascii="仿宋_GB2312" w:eastAsia="仿宋_GB2312"/>
          <w:sz w:val="32"/>
          <w:szCs w:val="30"/>
        </w:rPr>
        <w:t>中专著2部，主编6部，副主编3部，参编5部。此外，5人参与《面向2035教师学习的变革与创新》及《新时代高质量教师培训研究丛书》的编写。</w:t>
      </w:r>
      <w:r>
        <w:rPr>
          <w:rFonts w:hint="eastAsia" w:eastAsia="仿宋_GB2312"/>
          <w:sz w:val="32"/>
          <w:szCs w:val="32"/>
        </w:rPr>
        <w:t>组织召开“加强中小学教师弘扬中华优秀传统文化与教师培训”研讨会。</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3.以培训需求为导向，圆满完成委托项目和援助性项目。</w:t>
      </w:r>
      <w:r>
        <w:rPr>
          <w:rFonts w:hint="eastAsia" w:ascii="仿宋_GB2312" w:eastAsia="仿宋_GB2312"/>
          <w:sz w:val="32"/>
          <w:szCs w:val="30"/>
        </w:rPr>
        <w:t xml:space="preserve">圆满完成四川什邡骨干教师培训、甘肃临夏州骨干教师普通话培训和新疆生产建设兵团第十四师中小学教师教研能力提升项目，满足具体培训需求，形成稳定的培训模式。2023年累积完成援培委培165人次。      </w:t>
      </w:r>
    </w:p>
    <w:p>
      <w:pPr>
        <w:spacing w:line="520" w:lineRule="exact"/>
        <w:ind w:firstLine="643" w:firstLineChars="200"/>
        <w:jc w:val="left"/>
        <w:rPr>
          <w:rFonts w:ascii="仿宋_GB2312" w:eastAsia="仿宋_GB2312"/>
          <w:b/>
          <w:bCs/>
          <w:sz w:val="32"/>
          <w:szCs w:val="30"/>
        </w:rPr>
      </w:pPr>
      <w:r>
        <w:rPr>
          <w:rFonts w:hint="eastAsia" w:ascii="仿宋_GB2312" w:eastAsia="仿宋_GB2312"/>
          <w:b/>
          <w:bCs/>
          <w:sz w:val="32"/>
          <w:szCs w:val="30"/>
        </w:rPr>
        <w:t>（二）制度执行情况</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4.完善制度建设和工作流程管理，建立长效机制。</w:t>
      </w:r>
      <w:r>
        <w:rPr>
          <w:rFonts w:hint="eastAsia" w:ascii="仿宋_GB2312" w:eastAsia="仿宋_GB2312"/>
          <w:sz w:val="32"/>
          <w:szCs w:val="30"/>
        </w:rPr>
        <w:t>通过干部会、全体会学习学院教学管理文件制度，重申外请专家邀请、管理、付酬标准及流程；组织全员学习系统使用、项目管理、财务报销等办法，规范课酬标准与支出流程；强调落实项目负责人第一责任，加强教学管理干部审核工作的纪律要求，把遵规守纪开展教学科研的纪律要求挺在前面，深入到全体教职工头脑中，外化于行。</w:t>
      </w:r>
    </w:p>
    <w:p>
      <w:pPr>
        <w:spacing w:line="520" w:lineRule="exact"/>
        <w:ind w:firstLine="643" w:firstLineChars="200"/>
        <w:jc w:val="left"/>
        <w:rPr>
          <w:rFonts w:ascii="仿宋_GB2312" w:eastAsia="仿宋_GB2312"/>
          <w:b/>
          <w:bCs/>
          <w:sz w:val="32"/>
          <w:szCs w:val="30"/>
        </w:rPr>
      </w:pPr>
      <w:r>
        <w:rPr>
          <w:rFonts w:hint="eastAsia" w:ascii="仿宋_GB2312" w:eastAsia="仿宋_GB2312"/>
          <w:b/>
          <w:bCs/>
          <w:sz w:val="32"/>
          <w:szCs w:val="30"/>
        </w:rPr>
        <w:t>（三）其他工作完成情况</w:t>
      </w:r>
    </w:p>
    <w:p>
      <w:pPr>
        <w:autoSpaceDE w:val="0"/>
        <w:autoSpaceDN w:val="0"/>
        <w:adjustRightInd w:val="0"/>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5.</w:t>
      </w:r>
      <w:r>
        <w:rPr>
          <w:rFonts w:hint="eastAsia" w:ascii="仿宋_GB2312" w:eastAsia="仿宋_GB2312"/>
          <w:b/>
          <w:sz w:val="32"/>
          <w:szCs w:val="30"/>
        </w:rPr>
        <w:t>积极完成上级交办的重要任务。</w:t>
      </w:r>
      <w:r>
        <w:rPr>
          <w:rFonts w:hint="eastAsia" w:ascii="仿宋_GB2312" w:eastAsia="仿宋_GB2312"/>
          <w:b w:val="0"/>
          <w:bCs/>
          <w:sz w:val="32"/>
          <w:szCs w:val="30"/>
        </w:rPr>
        <w:t>参与</w:t>
      </w:r>
      <w:r>
        <w:rPr>
          <w:rFonts w:hint="eastAsia" w:ascii="仿宋_GB2312" w:eastAsia="仿宋_GB2312" w:cs="仿宋_GB2312"/>
          <w:kern w:val="0"/>
          <w:sz w:val="32"/>
          <w:szCs w:val="32"/>
        </w:rPr>
        <w:t>北京基础教育干部教师暑期全员实训优秀成果评选工作，牵头设计《学科作业设计模板及评价标准》并组织优秀成果评选。1</w:t>
      </w:r>
      <w:r>
        <w:rPr>
          <w:rFonts w:ascii="仿宋_GB2312" w:eastAsia="仿宋_GB2312" w:cs="仿宋_GB2312"/>
          <w:kern w:val="0"/>
          <w:sz w:val="32"/>
          <w:szCs w:val="32"/>
        </w:rPr>
        <w:t>1</w:t>
      </w:r>
      <w:r>
        <w:rPr>
          <w:rFonts w:hint="eastAsia" w:ascii="仿宋_GB2312" w:eastAsia="仿宋_GB2312" w:cs="仿宋_GB2312"/>
          <w:kern w:val="0"/>
          <w:sz w:val="32"/>
          <w:szCs w:val="32"/>
        </w:rPr>
        <w:t>月完成东城、延庆和顺义3区1</w:t>
      </w:r>
      <w:r>
        <w:rPr>
          <w:rFonts w:ascii="仿宋_GB2312" w:eastAsia="仿宋_GB2312" w:cs="仿宋_GB2312"/>
          <w:kern w:val="0"/>
          <w:sz w:val="32"/>
          <w:szCs w:val="32"/>
        </w:rPr>
        <w:t>3</w:t>
      </w:r>
      <w:r>
        <w:rPr>
          <w:rFonts w:hint="eastAsia" w:ascii="仿宋_GB2312" w:eastAsia="仿宋_GB2312" w:cs="仿宋_GB2312"/>
          <w:kern w:val="0"/>
          <w:sz w:val="32"/>
          <w:szCs w:val="32"/>
        </w:rPr>
        <w:t>所学校5个学科</w:t>
      </w:r>
      <w:r>
        <w:rPr>
          <w:rFonts w:hint="eastAsia" w:ascii="仿宋_GB2312" w:eastAsia="仿宋_GB2312"/>
          <w:sz w:val="32"/>
          <w:szCs w:val="30"/>
        </w:rPr>
        <w:t>中考改革质量月大调研工作，提交8</w:t>
      </w:r>
      <w:r>
        <w:rPr>
          <w:rFonts w:ascii="仿宋_GB2312" w:eastAsia="仿宋_GB2312"/>
          <w:sz w:val="32"/>
          <w:szCs w:val="30"/>
        </w:rPr>
        <w:t>0</w:t>
      </w:r>
      <w:r>
        <w:rPr>
          <w:rFonts w:hint="eastAsia" w:ascii="仿宋_GB2312" w:eastAsia="仿宋_GB2312"/>
          <w:sz w:val="32"/>
          <w:szCs w:val="30"/>
        </w:rPr>
        <w:t>份学科报告和3份区综合调研报告。</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6</w:t>
      </w:r>
      <w:r>
        <w:rPr>
          <w:rFonts w:ascii="仿宋_GB2312" w:eastAsia="仿宋_GB2312"/>
          <w:b/>
          <w:bCs/>
          <w:sz w:val="32"/>
          <w:szCs w:val="30"/>
        </w:rPr>
        <w:t>.</w:t>
      </w:r>
      <w:r>
        <w:rPr>
          <w:rFonts w:hint="eastAsia" w:ascii="仿宋_GB2312" w:eastAsia="仿宋_GB2312"/>
          <w:b/>
          <w:bCs/>
          <w:sz w:val="32"/>
          <w:szCs w:val="30"/>
        </w:rPr>
        <w:t>开展建院70周年系列活动，勇担奋进教育强国新征程重任。</w:t>
      </w:r>
      <w:r>
        <w:rPr>
          <w:rFonts w:hint="eastAsia" w:ascii="仿宋_GB2312" w:eastAsia="仿宋_GB2312"/>
          <w:bCs/>
          <w:sz w:val="32"/>
          <w:szCs w:val="30"/>
        </w:rPr>
        <w:t>举办</w:t>
      </w:r>
      <w:r>
        <w:rPr>
          <w:rFonts w:hint="eastAsia" w:ascii="仿宋_GB2312" w:eastAsia="仿宋_GB2312"/>
          <w:sz w:val="32"/>
          <w:szCs w:val="30"/>
        </w:rPr>
        <w:t>第三届传统文化子曰讲坛、语文学习任务群研讨会、教育戏剧教学（跨学科）研讨会等，打造培训品牌，展现学院风采，提升影响力。在参与院庆工作和学院史活动中开展爱院教育和“躬耕教师培训七十载，奋进教育强国新征程”——“强院有我”大家谈主题党日活动，增强教职工对学院的荣誉感、责任感和使命感。</w:t>
      </w:r>
    </w:p>
    <w:p>
      <w:pPr>
        <w:spacing w:line="520" w:lineRule="exact"/>
        <w:ind w:firstLine="640" w:firstLineChars="200"/>
        <w:jc w:val="left"/>
        <w:rPr>
          <w:rFonts w:eastAsia="黑体"/>
          <w:sz w:val="32"/>
          <w:szCs w:val="32"/>
        </w:rPr>
      </w:pPr>
      <w:r>
        <w:rPr>
          <w:rFonts w:eastAsia="黑体"/>
          <w:sz w:val="32"/>
          <w:szCs w:val="32"/>
        </w:rPr>
        <w:t>三、存在的问题和不足</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我们工作中还存在一些薄弱环节，主要体现在：</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一是整合培训主题打造特色品牌力度不够。要进一步增强学员人文素养，围绕中华优秀传统文化教育开展有组织培训与研究，凸显育人主题，做好顶层设计与宣传展示。</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二是教师队伍急需补充青年教师。青年教师比例偏低，引进青年教师数量不足。外语系因退休减员、孔院外派等情况，教师队伍难以满足工作需要。</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三是专业领军人物数量不足。人文与外语教育学院3个学科在岗48位专任教师，仅有外语专业教授1人。</w:t>
      </w:r>
    </w:p>
    <w:p>
      <w:pPr>
        <w:spacing w:line="520" w:lineRule="exact"/>
        <w:ind w:firstLine="640" w:firstLineChars="200"/>
        <w:jc w:val="left"/>
        <w:rPr>
          <w:rFonts w:eastAsia="黑体"/>
          <w:sz w:val="32"/>
          <w:szCs w:val="32"/>
        </w:rPr>
      </w:pPr>
      <w:r>
        <w:rPr>
          <w:rFonts w:hint="eastAsia" w:eastAsia="黑体"/>
          <w:sz w:val="32"/>
          <w:szCs w:val="32"/>
        </w:rPr>
        <w:t>四</w:t>
      </w:r>
      <w:r>
        <w:rPr>
          <w:rFonts w:eastAsia="黑体"/>
          <w:sz w:val="32"/>
          <w:szCs w:val="32"/>
        </w:rPr>
        <w:t>、</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2024年将深入学习贯彻党的二十大精神、习近平文化思想及总书记关于教育的重要论述，聚焦中华优秀传统文化教育，开展有组织培训与科研，以高质量党建推动学院各项事业高质量发展。</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1.以学院统筹项目为引领确保培训高质量。</w:t>
      </w:r>
      <w:r>
        <w:rPr>
          <w:rFonts w:hint="eastAsia" w:ascii="仿宋_GB2312" w:eastAsia="仿宋_GB2312"/>
          <w:sz w:val="32"/>
          <w:szCs w:val="30"/>
        </w:rPr>
        <w:t>集中优质资源，合力探索高端项目的实施策略，稳步推进实施，打造品牌项目。</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2.稳步推进专业、课程及教材建设。</w:t>
      </w:r>
      <w:r>
        <w:rPr>
          <w:rFonts w:hint="eastAsia" w:ascii="仿宋_GB2312" w:eastAsia="仿宋_GB2312"/>
          <w:sz w:val="32"/>
          <w:szCs w:val="30"/>
        </w:rPr>
        <w:t>稳步推进教师“一师一优课”课程建设。聚焦中华优秀传统文化教育，持续开展课程思政建设，打造品牌项目与精品课程。</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3.完善教学评价体系与质量保障机制。</w:t>
      </w:r>
      <w:r>
        <w:rPr>
          <w:rFonts w:hint="eastAsia" w:ascii="仿宋_GB2312" w:eastAsia="仿宋_GB2312"/>
          <w:sz w:val="32"/>
          <w:szCs w:val="30"/>
        </w:rPr>
        <w:t>实现教学督导常态化、制度化，实施“从课堂观察、反馈于课堂”的闭环管理。</w:t>
      </w:r>
    </w:p>
    <w:p>
      <w:pPr>
        <w:spacing w:line="520" w:lineRule="exact"/>
        <w:ind w:firstLine="643" w:firstLineChars="200"/>
        <w:jc w:val="left"/>
        <w:rPr>
          <w:rFonts w:ascii="仿宋_GB2312" w:eastAsia="仿宋_GB2312"/>
          <w:sz w:val="32"/>
          <w:szCs w:val="30"/>
        </w:rPr>
      </w:pPr>
      <w:r>
        <w:rPr>
          <w:rFonts w:hint="eastAsia" w:ascii="仿宋_GB2312" w:eastAsia="仿宋_GB2312"/>
          <w:b/>
          <w:bCs/>
          <w:sz w:val="32"/>
          <w:szCs w:val="30"/>
        </w:rPr>
        <w:t>4.聚焦学院工作主线，深入推进有组织科研。</w:t>
      </w:r>
      <w:r>
        <w:rPr>
          <w:rFonts w:hint="eastAsia" w:ascii="仿宋_GB2312" w:eastAsia="仿宋_GB2312"/>
          <w:sz w:val="32"/>
          <w:szCs w:val="30"/>
        </w:rPr>
        <w:t>加强跨学科、跨学段研训一体高层次课题的申报、实施，集体攻关申报3—4项市级以上课题。组织召开首都中小学中华优秀传统文化教育经验交流会、第四届传统文化子曰讲坛、第二届五彩杯教育戏剧展演等活动。</w:t>
      </w:r>
    </w:p>
    <w:p>
      <w:pPr>
        <w:spacing w:line="520" w:lineRule="exact"/>
        <w:jc w:val="left"/>
        <w:rPr>
          <w:rFonts w:ascii="仿宋_GB2312" w:eastAsia="仿宋_GB2312"/>
          <w:sz w:val="32"/>
          <w:szCs w:val="30"/>
        </w:rPr>
      </w:pP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34035" cy="230505"/>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center;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D2TH3RAAAAAwEAAA8AAAAAAAAAAQAgAAAAIgAAAGRycy9kb3ducmV2LnhtbFBLAQIU&#10;ABQAAAAIAIdO4kAVb2S3+gEAAAEEAAAOAAAAAAAAAAEAIAAAACABAABkcnMvZTJvRG9jLnhtbFBL&#10;BQYAAAAABgAGAFkBAACMBQ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77722"/>
    <w:rsid w:val="00085A19"/>
    <w:rsid w:val="00097EB5"/>
    <w:rsid w:val="000C2E7E"/>
    <w:rsid w:val="000C2F53"/>
    <w:rsid w:val="000E1897"/>
    <w:rsid w:val="000E335A"/>
    <w:rsid w:val="00101D67"/>
    <w:rsid w:val="00112F16"/>
    <w:rsid w:val="00121647"/>
    <w:rsid w:val="00134D97"/>
    <w:rsid w:val="00141341"/>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D7B7F"/>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1C86"/>
    <w:rsid w:val="002C6F91"/>
    <w:rsid w:val="002D0D91"/>
    <w:rsid w:val="002E2B63"/>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0C1B"/>
    <w:rsid w:val="0058180B"/>
    <w:rsid w:val="00584F8E"/>
    <w:rsid w:val="005930E6"/>
    <w:rsid w:val="00593539"/>
    <w:rsid w:val="00593A49"/>
    <w:rsid w:val="005A4F23"/>
    <w:rsid w:val="005B7AAF"/>
    <w:rsid w:val="005D6D0E"/>
    <w:rsid w:val="005E12E1"/>
    <w:rsid w:val="005F086E"/>
    <w:rsid w:val="0060219E"/>
    <w:rsid w:val="00604610"/>
    <w:rsid w:val="00625804"/>
    <w:rsid w:val="0063052E"/>
    <w:rsid w:val="006502E2"/>
    <w:rsid w:val="00651F96"/>
    <w:rsid w:val="00656245"/>
    <w:rsid w:val="006646C4"/>
    <w:rsid w:val="00664D28"/>
    <w:rsid w:val="00686817"/>
    <w:rsid w:val="00687761"/>
    <w:rsid w:val="006A0642"/>
    <w:rsid w:val="006A5C7E"/>
    <w:rsid w:val="006A5EA5"/>
    <w:rsid w:val="006A60D0"/>
    <w:rsid w:val="006A7AFB"/>
    <w:rsid w:val="006B21F3"/>
    <w:rsid w:val="006B33B8"/>
    <w:rsid w:val="006B40FE"/>
    <w:rsid w:val="006C07BA"/>
    <w:rsid w:val="006C47A1"/>
    <w:rsid w:val="006D4948"/>
    <w:rsid w:val="006D54A7"/>
    <w:rsid w:val="006D6BD2"/>
    <w:rsid w:val="006F76C3"/>
    <w:rsid w:val="00701FF8"/>
    <w:rsid w:val="00703AB9"/>
    <w:rsid w:val="007239E2"/>
    <w:rsid w:val="00734701"/>
    <w:rsid w:val="00740F80"/>
    <w:rsid w:val="0074297F"/>
    <w:rsid w:val="00754D7C"/>
    <w:rsid w:val="007556ED"/>
    <w:rsid w:val="00757B4C"/>
    <w:rsid w:val="00764199"/>
    <w:rsid w:val="0077210B"/>
    <w:rsid w:val="00774B73"/>
    <w:rsid w:val="007A2767"/>
    <w:rsid w:val="007A5EAE"/>
    <w:rsid w:val="007C0A9E"/>
    <w:rsid w:val="007F2F45"/>
    <w:rsid w:val="00800B61"/>
    <w:rsid w:val="00800CCE"/>
    <w:rsid w:val="008053A2"/>
    <w:rsid w:val="00810640"/>
    <w:rsid w:val="00811DF3"/>
    <w:rsid w:val="00820095"/>
    <w:rsid w:val="00831154"/>
    <w:rsid w:val="00835765"/>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E49F1"/>
    <w:rsid w:val="008E644E"/>
    <w:rsid w:val="00934051"/>
    <w:rsid w:val="00936313"/>
    <w:rsid w:val="00941DD7"/>
    <w:rsid w:val="00942A48"/>
    <w:rsid w:val="009465F7"/>
    <w:rsid w:val="0095667B"/>
    <w:rsid w:val="00957E69"/>
    <w:rsid w:val="009613D2"/>
    <w:rsid w:val="009843EE"/>
    <w:rsid w:val="00990D9F"/>
    <w:rsid w:val="00996032"/>
    <w:rsid w:val="009A76DE"/>
    <w:rsid w:val="009B0533"/>
    <w:rsid w:val="009B3D72"/>
    <w:rsid w:val="009B53EC"/>
    <w:rsid w:val="009C4E01"/>
    <w:rsid w:val="009D44C2"/>
    <w:rsid w:val="009E44EB"/>
    <w:rsid w:val="009E66CF"/>
    <w:rsid w:val="009F0481"/>
    <w:rsid w:val="009F0647"/>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AE5BB9"/>
    <w:rsid w:val="00AF3307"/>
    <w:rsid w:val="00B05FE6"/>
    <w:rsid w:val="00B075B1"/>
    <w:rsid w:val="00B11C22"/>
    <w:rsid w:val="00B12DFF"/>
    <w:rsid w:val="00B13D94"/>
    <w:rsid w:val="00B15375"/>
    <w:rsid w:val="00B2128A"/>
    <w:rsid w:val="00B24222"/>
    <w:rsid w:val="00B2736F"/>
    <w:rsid w:val="00B33AFA"/>
    <w:rsid w:val="00B35B1C"/>
    <w:rsid w:val="00B35EAE"/>
    <w:rsid w:val="00B4747E"/>
    <w:rsid w:val="00B76F74"/>
    <w:rsid w:val="00B8127D"/>
    <w:rsid w:val="00B83FD8"/>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5B2C"/>
    <w:rsid w:val="00C56324"/>
    <w:rsid w:val="00C6159F"/>
    <w:rsid w:val="00C74139"/>
    <w:rsid w:val="00C82D3A"/>
    <w:rsid w:val="00C9596E"/>
    <w:rsid w:val="00CB2EDC"/>
    <w:rsid w:val="00CC0CD0"/>
    <w:rsid w:val="00CE472B"/>
    <w:rsid w:val="00CF227A"/>
    <w:rsid w:val="00CF39B6"/>
    <w:rsid w:val="00D22D95"/>
    <w:rsid w:val="00D2572F"/>
    <w:rsid w:val="00D43322"/>
    <w:rsid w:val="00D447E2"/>
    <w:rsid w:val="00D46C17"/>
    <w:rsid w:val="00D47F5E"/>
    <w:rsid w:val="00D63A33"/>
    <w:rsid w:val="00D8699E"/>
    <w:rsid w:val="00D965A7"/>
    <w:rsid w:val="00DB4C6F"/>
    <w:rsid w:val="00DC6678"/>
    <w:rsid w:val="00DD4714"/>
    <w:rsid w:val="00DD583B"/>
    <w:rsid w:val="00DE4210"/>
    <w:rsid w:val="00DF3AA9"/>
    <w:rsid w:val="00DF618F"/>
    <w:rsid w:val="00DF7D6F"/>
    <w:rsid w:val="00E03FB6"/>
    <w:rsid w:val="00E10130"/>
    <w:rsid w:val="00E14929"/>
    <w:rsid w:val="00E15F3E"/>
    <w:rsid w:val="00E22298"/>
    <w:rsid w:val="00E27054"/>
    <w:rsid w:val="00E27686"/>
    <w:rsid w:val="00E30158"/>
    <w:rsid w:val="00E3194D"/>
    <w:rsid w:val="00E3727A"/>
    <w:rsid w:val="00E3736B"/>
    <w:rsid w:val="00E42F1A"/>
    <w:rsid w:val="00E446AB"/>
    <w:rsid w:val="00E50041"/>
    <w:rsid w:val="00E53524"/>
    <w:rsid w:val="00E62833"/>
    <w:rsid w:val="00E634A9"/>
    <w:rsid w:val="00E74F00"/>
    <w:rsid w:val="00E768DA"/>
    <w:rsid w:val="00E8316B"/>
    <w:rsid w:val="00E90F51"/>
    <w:rsid w:val="00EA1A00"/>
    <w:rsid w:val="00EA3398"/>
    <w:rsid w:val="00EA64BA"/>
    <w:rsid w:val="00EB2F11"/>
    <w:rsid w:val="00EB69EE"/>
    <w:rsid w:val="00EB7F92"/>
    <w:rsid w:val="00EC28EA"/>
    <w:rsid w:val="00EE34AA"/>
    <w:rsid w:val="00EF1599"/>
    <w:rsid w:val="00EF18BE"/>
    <w:rsid w:val="00EF5E2D"/>
    <w:rsid w:val="00F021F9"/>
    <w:rsid w:val="00F023E0"/>
    <w:rsid w:val="00F02E22"/>
    <w:rsid w:val="00F135C5"/>
    <w:rsid w:val="00F14EF4"/>
    <w:rsid w:val="00F21DC1"/>
    <w:rsid w:val="00F23F38"/>
    <w:rsid w:val="00F339A2"/>
    <w:rsid w:val="00F35998"/>
    <w:rsid w:val="00F4419A"/>
    <w:rsid w:val="00F51B31"/>
    <w:rsid w:val="00F547D8"/>
    <w:rsid w:val="00F717FE"/>
    <w:rsid w:val="00F746A5"/>
    <w:rsid w:val="00F74F58"/>
    <w:rsid w:val="00FA17E0"/>
    <w:rsid w:val="00FA2FD6"/>
    <w:rsid w:val="00FB12DC"/>
    <w:rsid w:val="00FB2AF9"/>
    <w:rsid w:val="00FB3145"/>
    <w:rsid w:val="00FC4CDB"/>
    <w:rsid w:val="00FD509E"/>
    <w:rsid w:val="00FF6C48"/>
    <w:rsid w:val="0127561C"/>
    <w:rsid w:val="01A119FC"/>
    <w:rsid w:val="023B0D85"/>
    <w:rsid w:val="02F8486D"/>
    <w:rsid w:val="03187320"/>
    <w:rsid w:val="0393096F"/>
    <w:rsid w:val="03EF48AA"/>
    <w:rsid w:val="04080B41"/>
    <w:rsid w:val="041C114C"/>
    <w:rsid w:val="04772443"/>
    <w:rsid w:val="04FF7AE2"/>
    <w:rsid w:val="050C42D8"/>
    <w:rsid w:val="05FE024C"/>
    <w:rsid w:val="065C5168"/>
    <w:rsid w:val="07EF062B"/>
    <w:rsid w:val="07F76E78"/>
    <w:rsid w:val="08397C17"/>
    <w:rsid w:val="084C09B0"/>
    <w:rsid w:val="08CA2E0B"/>
    <w:rsid w:val="09922F90"/>
    <w:rsid w:val="09C87119"/>
    <w:rsid w:val="09F25D5F"/>
    <w:rsid w:val="0A51452A"/>
    <w:rsid w:val="0A7D4828"/>
    <w:rsid w:val="0AF90B10"/>
    <w:rsid w:val="0B4E021A"/>
    <w:rsid w:val="0B5E1DD2"/>
    <w:rsid w:val="0B863BF7"/>
    <w:rsid w:val="0BED4349"/>
    <w:rsid w:val="0C3D03F2"/>
    <w:rsid w:val="0C41029C"/>
    <w:rsid w:val="0C7B0F8B"/>
    <w:rsid w:val="0C845BEF"/>
    <w:rsid w:val="0C8B1A4A"/>
    <w:rsid w:val="0CA91D19"/>
    <w:rsid w:val="0D9202AB"/>
    <w:rsid w:val="0DEC6564"/>
    <w:rsid w:val="0E1B522C"/>
    <w:rsid w:val="0E743BCE"/>
    <w:rsid w:val="0E803C0C"/>
    <w:rsid w:val="0F150DEB"/>
    <w:rsid w:val="0F5576BB"/>
    <w:rsid w:val="0FB91C2B"/>
    <w:rsid w:val="0FD52A61"/>
    <w:rsid w:val="0FDC376D"/>
    <w:rsid w:val="10217675"/>
    <w:rsid w:val="10CB3597"/>
    <w:rsid w:val="115D4444"/>
    <w:rsid w:val="12415B32"/>
    <w:rsid w:val="12BF0206"/>
    <w:rsid w:val="12D320D9"/>
    <w:rsid w:val="137C3E5C"/>
    <w:rsid w:val="13CD294D"/>
    <w:rsid w:val="14205C34"/>
    <w:rsid w:val="14882FBC"/>
    <w:rsid w:val="14D959F5"/>
    <w:rsid w:val="14F270EC"/>
    <w:rsid w:val="150A601E"/>
    <w:rsid w:val="159E66DF"/>
    <w:rsid w:val="16436839"/>
    <w:rsid w:val="16B53798"/>
    <w:rsid w:val="16CC6E2F"/>
    <w:rsid w:val="173C7F33"/>
    <w:rsid w:val="177207C7"/>
    <w:rsid w:val="178E1F33"/>
    <w:rsid w:val="17D16D46"/>
    <w:rsid w:val="18D212C6"/>
    <w:rsid w:val="19082E26"/>
    <w:rsid w:val="19D72D72"/>
    <w:rsid w:val="19EB097E"/>
    <w:rsid w:val="1A257270"/>
    <w:rsid w:val="1A364410"/>
    <w:rsid w:val="1AA32939"/>
    <w:rsid w:val="1B0C1DB2"/>
    <w:rsid w:val="1B407A44"/>
    <w:rsid w:val="1B444B31"/>
    <w:rsid w:val="1B517BA6"/>
    <w:rsid w:val="1B795D21"/>
    <w:rsid w:val="1BF626C3"/>
    <w:rsid w:val="1C387FA6"/>
    <w:rsid w:val="1D4F7EA6"/>
    <w:rsid w:val="1E225C80"/>
    <w:rsid w:val="1E266884"/>
    <w:rsid w:val="1E302241"/>
    <w:rsid w:val="1E436EC5"/>
    <w:rsid w:val="1FA75A7B"/>
    <w:rsid w:val="1FC04FB3"/>
    <w:rsid w:val="2026764F"/>
    <w:rsid w:val="202F3346"/>
    <w:rsid w:val="20E1210F"/>
    <w:rsid w:val="20F05610"/>
    <w:rsid w:val="21254EEC"/>
    <w:rsid w:val="218D3EC3"/>
    <w:rsid w:val="21F826B1"/>
    <w:rsid w:val="227764F9"/>
    <w:rsid w:val="22947536"/>
    <w:rsid w:val="229F3BE2"/>
    <w:rsid w:val="22AA09BD"/>
    <w:rsid w:val="22DC5E4E"/>
    <w:rsid w:val="22FA2928"/>
    <w:rsid w:val="23022F95"/>
    <w:rsid w:val="23A3696A"/>
    <w:rsid w:val="23A37585"/>
    <w:rsid w:val="24253281"/>
    <w:rsid w:val="24860EC8"/>
    <w:rsid w:val="24E33795"/>
    <w:rsid w:val="24EC2D9F"/>
    <w:rsid w:val="250A5BD3"/>
    <w:rsid w:val="25475B9E"/>
    <w:rsid w:val="26024C5F"/>
    <w:rsid w:val="26035DEB"/>
    <w:rsid w:val="26852758"/>
    <w:rsid w:val="282F2100"/>
    <w:rsid w:val="28791571"/>
    <w:rsid w:val="28BD6625"/>
    <w:rsid w:val="291A637D"/>
    <w:rsid w:val="295519A1"/>
    <w:rsid w:val="29B11CD7"/>
    <w:rsid w:val="29DA2C92"/>
    <w:rsid w:val="2A141E18"/>
    <w:rsid w:val="2A230F3C"/>
    <w:rsid w:val="2A3E16D3"/>
    <w:rsid w:val="2B431DCE"/>
    <w:rsid w:val="2B9E478D"/>
    <w:rsid w:val="2BAA7930"/>
    <w:rsid w:val="2BCA3D60"/>
    <w:rsid w:val="2C306B2E"/>
    <w:rsid w:val="2C555DB3"/>
    <w:rsid w:val="2C67659D"/>
    <w:rsid w:val="2D15360E"/>
    <w:rsid w:val="2DAB5A42"/>
    <w:rsid w:val="2E0954E4"/>
    <w:rsid w:val="2E7859CD"/>
    <w:rsid w:val="2F107C41"/>
    <w:rsid w:val="2F6333EC"/>
    <w:rsid w:val="2FC26E9C"/>
    <w:rsid w:val="2FCF7EDE"/>
    <w:rsid w:val="2FFF5E00"/>
    <w:rsid w:val="30987AC8"/>
    <w:rsid w:val="30995039"/>
    <w:rsid w:val="30C3638E"/>
    <w:rsid w:val="30CC3C10"/>
    <w:rsid w:val="31C23B53"/>
    <w:rsid w:val="31EA6996"/>
    <w:rsid w:val="32617BCD"/>
    <w:rsid w:val="32F708AC"/>
    <w:rsid w:val="33BE6FF0"/>
    <w:rsid w:val="35833416"/>
    <w:rsid w:val="358B5E9B"/>
    <w:rsid w:val="36E02E65"/>
    <w:rsid w:val="3781255F"/>
    <w:rsid w:val="37CA5CEE"/>
    <w:rsid w:val="37F93E62"/>
    <w:rsid w:val="39656507"/>
    <w:rsid w:val="39A90325"/>
    <w:rsid w:val="39AF77BF"/>
    <w:rsid w:val="3A0606BF"/>
    <w:rsid w:val="3A072462"/>
    <w:rsid w:val="3A10608A"/>
    <w:rsid w:val="3A281EF8"/>
    <w:rsid w:val="3A774A53"/>
    <w:rsid w:val="3A7B204F"/>
    <w:rsid w:val="3B7313F4"/>
    <w:rsid w:val="3BE27CF4"/>
    <w:rsid w:val="3C4C0839"/>
    <w:rsid w:val="3C75728C"/>
    <w:rsid w:val="3C7E1027"/>
    <w:rsid w:val="3C9B3888"/>
    <w:rsid w:val="3CCD7BCD"/>
    <w:rsid w:val="3E091AA4"/>
    <w:rsid w:val="3E0D29ED"/>
    <w:rsid w:val="3E6B3098"/>
    <w:rsid w:val="3EB53D70"/>
    <w:rsid w:val="3EF85104"/>
    <w:rsid w:val="3F0D65C9"/>
    <w:rsid w:val="3F4E4553"/>
    <w:rsid w:val="3FC24297"/>
    <w:rsid w:val="4147254C"/>
    <w:rsid w:val="419C4FC6"/>
    <w:rsid w:val="428455E3"/>
    <w:rsid w:val="42A5435F"/>
    <w:rsid w:val="42A570D1"/>
    <w:rsid w:val="431E34F4"/>
    <w:rsid w:val="43910F8B"/>
    <w:rsid w:val="43BC5997"/>
    <w:rsid w:val="445676AA"/>
    <w:rsid w:val="450C0AF8"/>
    <w:rsid w:val="45251D72"/>
    <w:rsid w:val="457F131B"/>
    <w:rsid w:val="46691693"/>
    <w:rsid w:val="467F509E"/>
    <w:rsid w:val="46AE5938"/>
    <w:rsid w:val="4721292C"/>
    <w:rsid w:val="47497CD5"/>
    <w:rsid w:val="4774221F"/>
    <w:rsid w:val="4848264F"/>
    <w:rsid w:val="4854064D"/>
    <w:rsid w:val="487039CA"/>
    <w:rsid w:val="488A79EB"/>
    <w:rsid w:val="491846E2"/>
    <w:rsid w:val="496376AB"/>
    <w:rsid w:val="49FC6815"/>
    <w:rsid w:val="4A0029AD"/>
    <w:rsid w:val="4A880DD3"/>
    <w:rsid w:val="4B8F479B"/>
    <w:rsid w:val="4BD311D5"/>
    <w:rsid w:val="4BE87A96"/>
    <w:rsid w:val="4C4774AF"/>
    <w:rsid w:val="4C56198E"/>
    <w:rsid w:val="4C9302EB"/>
    <w:rsid w:val="4D3576C5"/>
    <w:rsid w:val="4E607018"/>
    <w:rsid w:val="4ED15AAE"/>
    <w:rsid w:val="4EF0709E"/>
    <w:rsid w:val="4EF9436E"/>
    <w:rsid w:val="4F013050"/>
    <w:rsid w:val="4F02562A"/>
    <w:rsid w:val="4F0D515D"/>
    <w:rsid w:val="4F4F10AC"/>
    <w:rsid w:val="501329F4"/>
    <w:rsid w:val="504B376D"/>
    <w:rsid w:val="508463C2"/>
    <w:rsid w:val="50D74F3A"/>
    <w:rsid w:val="50D756B0"/>
    <w:rsid w:val="50F07AFB"/>
    <w:rsid w:val="511E7FC6"/>
    <w:rsid w:val="521108B0"/>
    <w:rsid w:val="52582329"/>
    <w:rsid w:val="52834480"/>
    <w:rsid w:val="52A53D62"/>
    <w:rsid w:val="532F0086"/>
    <w:rsid w:val="536D011B"/>
    <w:rsid w:val="537C3385"/>
    <w:rsid w:val="540E06F6"/>
    <w:rsid w:val="545E797B"/>
    <w:rsid w:val="54C61734"/>
    <w:rsid w:val="5511245D"/>
    <w:rsid w:val="552072B9"/>
    <w:rsid w:val="552F1E5E"/>
    <w:rsid w:val="55407EEE"/>
    <w:rsid w:val="55700DEF"/>
    <w:rsid w:val="55701085"/>
    <w:rsid w:val="55954627"/>
    <w:rsid w:val="55E7063E"/>
    <w:rsid w:val="55EA2CC2"/>
    <w:rsid w:val="56075D18"/>
    <w:rsid w:val="562B1B9F"/>
    <w:rsid w:val="56A95ABB"/>
    <w:rsid w:val="57856723"/>
    <w:rsid w:val="579237AF"/>
    <w:rsid w:val="57B516C8"/>
    <w:rsid w:val="587722E6"/>
    <w:rsid w:val="590374F4"/>
    <w:rsid w:val="59270ED6"/>
    <w:rsid w:val="596533E9"/>
    <w:rsid w:val="59A70F49"/>
    <w:rsid w:val="5A7364B6"/>
    <w:rsid w:val="5A7A7E04"/>
    <w:rsid w:val="5B081868"/>
    <w:rsid w:val="5B0D3DD0"/>
    <w:rsid w:val="5B57504B"/>
    <w:rsid w:val="5C0F0D95"/>
    <w:rsid w:val="5C145707"/>
    <w:rsid w:val="5C89467B"/>
    <w:rsid w:val="5CD4565B"/>
    <w:rsid w:val="5D3952B2"/>
    <w:rsid w:val="5DA212D5"/>
    <w:rsid w:val="5E180794"/>
    <w:rsid w:val="5E4D7446"/>
    <w:rsid w:val="5E993878"/>
    <w:rsid w:val="5EFD0297"/>
    <w:rsid w:val="5F064855"/>
    <w:rsid w:val="5F641CB7"/>
    <w:rsid w:val="5F93686E"/>
    <w:rsid w:val="5F9C25EB"/>
    <w:rsid w:val="5FBB6B20"/>
    <w:rsid w:val="60081CAE"/>
    <w:rsid w:val="60541AF3"/>
    <w:rsid w:val="608B5463"/>
    <w:rsid w:val="60A86070"/>
    <w:rsid w:val="61D46FF0"/>
    <w:rsid w:val="6217221E"/>
    <w:rsid w:val="621A25FF"/>
    <w:rsid w:val="6284160B"/>
    <w:rsid w:val="62BD7797"/>
    <w:rsid w:val="62C53D40"/>
    <w:rsid w:val="62E01369"/>
    <w:rsid w:val="633443D1"/>
    <w:rsid w:val="63F10007"/>
    <w:rsid w:val="64465512"/>
    <w:rsid w:val="64472F94"/>
    <w:rsid w:val="64F47596"/>
    <w:rsid w:val="65242DAE"/>
    <w:rsid w:val="65871669"/>
    <w:rsid w:val="65CE5FD7"/>
    <w:rsid w:val="662B430D"/>
    <w:rsid w:val="66EC443D"/>
    <w:rsid w:val="670871EE"/>
    <w:rsid w:val="671D3F2C"/>
    <w:rsid w:val="67B8723F"/>
    <w:rsid w:val="67C63E4F"/>
    <w:rsid w:val="67F66B9D"/>
    <w:rsid w:val="681F71B9"/>
    <w:rsid w:val="68B04193"/>
    <w:rsid w:val="68B671B9"/>
    <w:rsid w:val="690A5D96"/>
    <w:rsid w:val="69232124"/>
    <w:rsid w:val="692F7B9E"/>
    <w:rsid w:val="69341E28"/>
    <w:rsid w:val="69701B16"/>
    <w:rsid w:val="69754376"/>
    <w:rsid w:val="6995504F"/>
    <w:rsid w:val="69983D4A"/>
    <w:rsid w:val="69DB5AB9"/>
    <w:rsid w:val="6ADD3871"/>
    <w:rsid w:val="6AE04B13"/>
    <w:rsid w:val="6B03148A"/>
    <w:rsid w:val="6B2057A2"/>
    <w:rsid w:val="6B612A39"/>
    <w:rsid w:val="6C416227"/>
    <w:rsid w:val="6C8D0471"/>
    <w:rsid w:val="6CF65B43"/>
    <w:rsid w:val="6D3A128E"/>
    <w:rsid w:val="6D427FA3"/>
    <w:rsid w:val="6DA87587"/>
    <w:rsid w:val="6DDA1EE8"/>
    <w:rsid w:val="6E433B5F"/>
    <w:rsid w:val="6E7B29BC"/>
    <w:rsid w:val="6EC417C9"/>
    <w:rsid w:val="6F18683E"/>
    <w:rsid w:val="6FD50F27"/>
    <w:rsid w:val="706C4FFD"/>
    <w:rsid w:val="7074712E"/>
    <w:rsid w:val="717B717A"/>
    <w:rsid w:val="71EC0320"/>
    <w:rsid w:val="7242215A"/>
    <w:rsid w:val="73CA3785"/>
    <w:rsid w:val="742E634B"/>
    <w:rsid w:val="74534466"/>
    <w:rsid w:val="74795229"/>
    <w:rsid w:val="748B5DC2"/>
    <w:rsid w:val="74C3179F"/>
    <w:rsid w:val="74F512D6"/>
    <w:rsid w:val="756B0CB3"/>
    <w:rsid w:val="75BC2E6D"/>
    <w:rsid w:val="760652AE"/>
    <w:rsid w:val="763B46F3"/>
    <w:rsid w:val="775638CA"/>
    <w:rsid w:val="78012B41"/>
    <w:rsid w:val="78054D74"/>
    <w:rsid w:val="78654D55"/>
    <w:rsid w:val="78BA2870"/>
    <w:rsid w:val="78C9678F"/>
    <w:rsid w:val="795F1B2D"/>
    <w:rsid w:val="7A08516B"/>
    <w:rsid w:val="7A0D13D6"/>
    <w:rsid w:val="7A7865E0"/>
    <w:rsid w:val="7B261499"/>
    <w:rsid w:val="7B2D2682"/>
    <w:rsid w:val="7B3A05A2"/>
    <w:rsid w:val="7B8A4AB6"/>
    <w:rsid w:val="7BCA718C"/>
    <w:rsid w:val="7C2604AC"/>
    <w:rsid w:val="7C3F337C"/>
    <w:rsid w:val="7C4F7380"/>
    <w:rsid w:val="7CA4190A"/>
    <w:rsid w:val="7CAF069E"/>
    <w:rsid w:val="7CE43C6A"/>
    <w:rsid w:val="7D517BA4"/>
    <w:rsid w:val="7D8A4E6E"/>
    <w:rsid w:val="7D944A96"/>
    <w:rsid w:val="7DBB5426"/>
    <w:rsid w:val="7E122AD7"/>
    <w:rsid w:val="7E7B16B6"/>
    <w:rsid w:val="7E9D7BED"/>
    <w:rsid w:val="7EB94460"/>
    <w:rsid w:val="7F3B7D9F"/>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修订1"/>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934E68-18B6-4761-852E-7730E12EB2B0}">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5</Pages>
  <Words>471</Words>
  <Characters>2690</Characters>
  <Lines>22</Lines>
  <Paragraphs>6</Paragraphs>
  <TotalTime>3</TotalTime>
  <ScaleCrop>false</ScaleCrop>
  <LinksUpToDate>false</LinksUpToDate>
  <CharactersWithSpaces>3155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2023-12-15T15:47:00Z</dcterms:created>
  <dc:creator>沐泽电脑</dc:creator>
  <cp:lastModifiedBy>黄汉周</cp:lastModifiedBy>
  <cp:lastPrinted>2023-12-11T03:06:00Z</cp:lastPrinted>
  <dcterms:modified xsi:type="dcterms:W3CDTF">2024-01-16T06:29:25Z</dcterms:modified>
  <dc:title>京教院发〔2002〕1号</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91B55314F23A425EBC5B483A12B5B860</vt:lpwstr>
  </property>
</Properties>
</file>